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95" w:rsidRDefault="00D35F95"/>
    <w:p w:rsidR="00D35F95" w:rsidRDefault="00D35F95"/>
    <w:p w:rsidR="00D35F95" w:rsidRDefault="00D35F95"/>
    <w:p w:rsidR="00D35F95" w:rsidRDefault="00D35F95"/>
    <w:p w:rsidR="00D35F95" w:rsidRDefault="00D35F95"/>
    <w:p w:rsidR="00D35F95" w:rsidRDefault="00D35F95"/>
    <w:p w:rsidR="00D35F95" w:rsidRDefault="00D35F95"/>
    <w:p w:rsidR="002A4CE5" w:rsidRPr="00FA2731" w:rsidRDefault="002A4CE5" w:rsidP="002A4CE5">
      <w:pPr>
        <w:jc w:val="center"/>
        <w:rPr>
          <w:b/>
          <w:sz w:val="40"/>
        </w:rPr>
      </w:pPr>
      <w:r w:rsidRPr="00FA2731">
        <w:rPr>
          <w:b/>
          <w:sz w:val="40"/>
        </w:rPr>
        <w:t>CEN ISSS workshop BII</w:t>
      </w:r>
    </w:p>
    <w:p w:rsidR="002A4CE5" w:rsidRDefault="002A4CE5" w:rsidP="002A4CE5">
      <w:pPr>
        <w:jc w:val="center"/>
        <w:rPr>
          <w:b/>
          <w:sz w:val="40"/>
        </w:rPr>
      </w:pPr>
      <w:r>
        <w:rPr>
          <w:b/>
          <w:sz w:val="40"/>
        </w:rPr>
        <w:t>Working group 2</w:t>
      </w:r>
    </w:p>
    <w:p w:rsidR="002A4CE5" w:rsidRPr="00AD62F7" w:rsidRDefault="002A4CE5" w:rsidP="002A4CE5">
      <w:pPr>
        <w:jc w:val="center"/>
        <w:rPr>
          <w:b/>
          <w:sz w:val="40"/>
          <w:lang w:val="fr-BE"/>
        </w:rPr>
      </w:pPr>
      <w:r w:rsidRPr="00AD62F7">
        <w:rPr>
          <w:b/>
          <w:sz w:val="40"/>
          <w:lang w:val="fr-BE"/>
        </w:rPr>
        <w:t>UBL-UN/CEFACT convergence</w:t>
      </w:r>
    </w:p>
    <w:p w:rsidR="00D35F95" w:rsidRPr="00AD62F7" w:rsidRDefault="00D35F95">
      <w:pPr>
        <w:rPr>
          <w:lang w:val="fr-BE"/>
        </w:rPr>
      </w:pPr>
    </w:p>
    <w:p w:rsidR="0092524C" w:rsidRPr="00AD62F7" w:rsidRDefault="0092524C">
      <w:pPr>
        <w:rPr>
          <w:b/>
          <w:sz w:val="40"/>
          <w:lang w:val="fr-BE"/>
        </w:rPr>
      </w:pPr>
    </w:p>
    <w:p w:rsidR="0092524C" w:rsidRPr="00AD62F7" w:rsidRDefault="0092524C">
      <w:pPr>
        <w:rPr>
          <w:b/>
          <w:sz w:val="40"/>
          <w:lang w:val="fr-BE"/>
        </w:rPr>
      </w:pPr>
    </w:p>
    <w:p w:rsidR="00D35F95" w:rsidRPr="00AD62F7" w:rsidRDefault="00827B6C">
      <w:pPr>
        <w:rPr>
          <w:lang w:val="fr-BE"/>
        </w:rPr>
      </w:pPr>
      <w:r w:rsidRPr="00AD62F7">
        <w:rPr>
          <w:b/>
          <w:sz w:val="40"/>
          <w:lang w:val="fr-BE"/>
        </w:rPr>
        <w:t>CWA – WG2 Draft version</w:t>
      </w:r>
    </w:p>
    <w:p w:rsidR="00D35F95" w:rsidRPr="00AD62F7" w:rsidRDefault="00D35F95">
      <w:pPr>
        <w:rPr>
          <w:lang w:val="fr-BE"/>
        </w:rPr>
      </w:pPr>
    </w:p>
    <w:p w:rsidR="00D35F95" w:rsidRDefault="00D35F95">
      <w:r>
        <w:t>This title page will be replaced by the CWA Formal Title Page, created by the CEN Standards Production Department at the moment of producing the CWA for publication. Users of this template can therefore use the title page to contain any information they wish.</w:t>
      </w:r>
    </w:p>
    <w:p w:rsidR="00D35F95" w:rsidRDefault="00D35F95">
      <w:r>
        <w:t>The bulk of the document then starts as a new section. One can adapt the CWA reference in the Header to contain the working document reference. It is only the final draft that should contain the CWA reference in the Header.</w:t>
      </w:r>
    </w:p>
    <w:p w:rsidR="00D35F95" w:rsidRDefault="00D35F95">
      <w:pPr>
        <w:sectPr w:rsidR="00D35F95">
          <w:headerReference w:type="default" r:id="rId10"/>
          <w:footnotePr>
            <w:numRestart w:val="eachSect"/>
          </w:footnotePr>
          <w:pgSz w:w="11907" w:h="16840" w:code="9"/>
          <w:pgMar w:top="1418" w:right="1134" w:bottom="1134" w:left="1134" w:header="680" w:footer="340" w:gutter="0"/>
          <w:pgNumType w:start="2"/>
          <w:cols w:space="720"/>
        </w:sectPr>
      </w:pPr>
      <w:r>
        <w:t>It is the intention that this template be improved with experience. For questions and comments, please contact luc.vandenberghe@cenorm.be</w:t>
      </w:r>
    </w:p>
    <w:p w:rsidR="00D35F95" w:rsidRDefault="00D35F95">
      <w:pPr>
        <w:pStyle w:val="Heading1"/>
      </w:pPr>
      <w:bookmarkStart w:id="0" w:name="_Toc246977593"/>
      <w:r>
        <w:lastRenderedPageBreak/>
        <w:t>Contents</w:t>
      </w:r>
      <w:bookmarkEnd w:id="0"/>
    </w:p>
    <w:p w:rsidR="007B0822" w:rsidRDefault="00DD3CFD">
      <w:pPr>
        <w:pStyle w:val="TOC1"/>
        <w:rPr>
          <w:rFonts w:asciiTheme="minorHAnsi" w:eastAsiaTheme="minorEastAsia" w:hAnsiTheme="minorHAnsi" w:cstheme="minorBidi"/>
          <w:szCs w:val="22"/>
          <w:lang w:val="en-US"/>
        </w:rPr>
      </w:pPr>
      <w:r w:rsidRPr="00DD3CFD">
        <w:fldChar w:fldCharType="begin"/>
      </w:r>
      <w:r w:rsidR="00D35F95">
        <w:instrText xml:space="preserve"> TOC \o </w:instrText>
      </w:r>
      <w:r w:rsidRPr="00DD3CFD">
        <w:fldChar w:fldCharType="separate"/>
      </w:r>
      <w:r w:rsidR="007B0822">
        <w:t>Contents</w:t>
      </w:r>
      <w:r w:rsidR="007B0822">
        <w:tab/>
      </w:r>
      <w:r>
        <w:fldChar w:fldCharType="begin"/>
      </w:r>
      <w:r w:rsidR="007B0822">
        <w:instrText xml:space="preserve"> PAGEREF _Toc246977593 \h </w:instrText>
      </w:r>
      <w:r>
        <w:fldChar w:fldCharType="separate"/>
      </w:r>
      <w:r w:rsidR="007B0822">
        <w:t>2</w:t>
      </w:r>
      <w:r>
        <w:fldChar w:fldCharType="end"/>
      </w:r>
    </w:p>
    <w:p w:rsidR="007B0822" w:rsidRDefault="007B0822">
      <w:pPr>
        <w:pStyle w:val="TOC1"/>
        <w:rPr>
          <w:rFonts w:asciiTheme="minorHAnsi" w:eastAsiaTheme="minorEastAsia" w:hAnsiTheme="minorHAnsi" w:cstheme="minorBidi"/>
          <w:szCs w:val="22"/>
          <w:lang w:val="en-US"/>
        </w:rPr>
      </w:pPr>
      <w:r>
        <w:t>Foreword</w:t>
      </w:r>
      <w:r>
        <w:tab/>
      </w:r>
      <w:r w:rsidR="00DD3CFD">
        <w:fldChar w:fldCharType="begin"/>
      </w:r>
      <w:r>
        <w:instrText xml:space="preserve"> PAGEREF _Toc246977594 \h </w:instrText>
      </w:r>
      <w:r w:rsidR="00DD3CFD">
        <w:fldChar w:fldCharType="separate"/>
      </w:r>
      <w:r>
        <w:t>3</w:t>
      </w:r>
      <w:r w:rsidR="00DD3CFD">
        <w:fldChar w:fldCharType="end"/>
      </w:r>
    </w:p>
    <w:p w:rsidR="007B0822" w:rsidRDefault="007B0822">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rsidR="00DD3CFD">
        <w:fldChar w:fldCharType="begin"/>
      </w:r>
      <w:r>
        <w:instrText xml:space="preserve"> PAGEREF _Toc246977595 \h </w:instrText>
      </w:r>
      <w:r w:rsidR="00DD3CFD">
        <w:fldChar w:fldCharType="separate"/>
      </w:r>
      <w:r>
        <w:t>5</w:t>
      </w:r>
      <w:r w:rsidR="00DD3CFD">
        <w:fldChar w:fldCharType="end"/>
      </w:r>
    </w:p>
    <w:p w:rsidR="007B0822" w:rsidRDefault="007B0822">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Normative References</w:t>
      </w:r>
      <w:r>
        <w:tab/>
      </w:r>
      <w:r w:rsidR="00DD3CFD">
        <w:fldChar w:fldCharType="begin"/>
      </w:r>
      <w:r>
        <w:instrText xml:space="preserve"> PAGEREF _Toc246977596 \h </w:instrText>
      </w:r>
      <w:r w:rsidR="00DD3CFD">
        <w:fldChar w:fldCharType="separate"/>
      </w:r>
      <w:r>
        <w:t>6</w:t>
      </w:r>
      <w:r w:rsidR="00DD3CFD">
        <w:fldChar w:fldCharType="end"/>
      </w:r>
    </w:p>
    <w:p w:rsidR="007B0822" w:rsidRDefault="007B0822">
      <w:pPr>
        <w:pStyle w:val="TOC2"/>
        <w:rPr>
          <w:rFonts w:asciiTheme="minorHAnsi" w:eastAsiaTheme="minorEastAsia" w:hAnsiTheme="minorHAnsi" w:cstheme="minorBidi"/>
          <w:sz w:val="22"/>
          <w:szCs w:val="22"/>
          <w:lang w:val="en-US"/>
        </w:rPr>
      </w:pPr>
      <w:r>
        <w:t>2.1</w:t>
      </w:r>
      <w:r>
        <w:rPr>
          <w:rFonts w:asciiTheme="minorHAnsi" w:eastAsiaTheme="minorEastAsia" w:hAnsiTheme="minorHAnsi" w:cstheme="minorBidi"/>
          <w:sz w:val="22"/>
          <w:szCs w:val="22"/>
          <w:lang w:val="en-US"/>
        </w:rPr>
        <w:tab/>
      </w:r>
      <w:r>
        <w:t>Technical references</w:t>
      </w:r>
      <w:r>
        <w:tab/>
      </w:r>
      <w:r w:rsidR="00DD3CFD">
        <w:fldChar w:fldCharType="begin"/>
      </w:r>
      <w:r>
        <w:instrText xml:space="preserve"> PAGEREF _Toc246977597 \h </w:instrText>
      </w:r>
      <w:r w:rsidR="00DD3CFD">
        <w:fldChar w:fldCharType="separate"/>
      </w:r>
      <w:r>
        <w:t>6</w:t>
      </w:r>
      <w:r w:rsidR="00DD3CFD">
        <w:fldChar w:fldCharType="end"/>
      </w:r>
    </w:p>
    <w:p w:rsidR="007B0822" w:rsidRDefault="007B0822">
      <w:pPr>
        <w:pStyle w:val="TOC1"/>
        <w:rPr>
          <w:rFonts w:asciiTheme="minorHAnsi" w:eastAsiaTheme="minorEastAsia" w:hAnsiTheme="minorHAnsi" w:cstheme="minorBidi"/>
          <w:szCs w:val="22"/>
          <w:lang w:val="en-US"/>
        </w:rPr>
      </w:pPr>
      <w:r w:rsidRPr="003B00A4">
        <w:rPr>
          <w:lang w:val="fr-BE"/>
        </w:rPr>
        <w:t>4</w:t>
      </w:r>
      <w:r>
        <w:rPr>
          <w:rFonts w:asciiTheme="minorHAnsi" w:eastAsiaTheme="minorEastAsia" w:hAnsiTheme="minorHAnsi" w:cstheme="minorBidi"/>
          <w:szCs w:val="22"/>
          <w:lang w:val="en-US"/>
        </w:rPr>
        <w:tab/>
      </w:r>
      <w:r w:rsidRPr="003B00A4">
        <w:rPr>
          <w:lang w:val="fr-BE"/>
        </w:rPr>
        <w:t>BII UBL-UN/CEFACT Convergence WG2</w:t>
      </w:r>
      <w:r>
        <w:tab/>
      </w:r>
      <w:r w:rsidR="00DD3CFD">
        <w:fldChar w:fldCharType="begin"/>
      </w:r>
      <w:r>
        <w:instrText xml:space="preserve"> PAGEREF _Toc246977598 \h </w:instrText>
      </w:r>
      <w:r w:rsidR="00DD3CFD">
        <w:fldChar w:fldCharType="separate"/>
      </w:r>
      <w:r>
        <w:t>7</w:t>
      </w:r>
      <w:r w:rsidR="00DD3CFD">
        <w:fldChar w:fldCharType="end"/>
      </w:r>
    </w:p>
    <w:p w:rsidR="007B0822" w:rsidRDefault="007B0822">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Introduction</w:t>
      </w:r>
      <w:r>
        <w:tab/>
      </w:r>
      <w:r w:rsidR="00DD3CFD">
        <w:fldChar w:fldCharType="begin"/>
      </w:r>
      <w:r>
        <w:instrText xml:space="preserve"> PAGEREF _Toc246977599 \h </w:instrText>
      </w:r>
      <w:r w:rsidR="00DD3CFD">
        <w:fldChar w:fldCharType="separate"/>
      </w:r>
      <w:r>
        <w:t>7</w:t>
      </w:r>
      <w:r w:rsidR="00DD3CFD">
        <w:fldChar w:fldCharType="end"/>
      </w:r>
    </w:p>
    <w:p w:rsidR="007B0822" w:rsidRDefault="007B0822">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Observations form GAP Analysis</w:t>
      </w:r>
      <w:r>
        <w:tab/>
      </w:r>
      <w:r w:rsidR="00DD3CFD">
        <w:fldChar w:fldCharType="begin"/>
      </w:r>
      <w:r>
        <w:instrText xml:space="preserve"> PAGEREF _Toc246977600 \h </w:instrText>
      </w:r>
      <w:r w:rsidR="00DD3CFD">
        <w:fldChar w:fldCharType="separate"/>
      </w:r>
      <w:r>
        <w:t>7</w:t>
      </w:r>
      <w:r w:rsidR="00DD3CFD">
        <w:fldChar w:fldCharType="end"/>
      </w:r>
    </w:p>
    <w:p w:rsidR="007B0822" w:rsidRDefault="007B0822">
      <w:pPr>
        <w:pStyle w:val="TOC3"/>
        <w:rPr>
          <w:rFonts w:asciiTheme="minorHAnsi" w:eastAsiaTheme="minorEastAsia" w:hAnsiTheme="minorHAnsi" w:cstheme="minorBidi"/>
          <w:sz w:val="22"/>
          <w:szCs w:val="22"/>
          <w:lang w:val="en-US"/>
        </w:rPr>
      </w:pPr>
      <w:r w:rsidRPr="003B00A4">
        <w:rPr>
          <w:bCs/>
          <w:color w:val="323232"/>
        </w:rPr>
        <w:t>4.2.1</w:t>
      </w:r>
      <w:r>
        <w:rPr>
          <w:rFonts w:asciiTheme="minorHAnsi" w:eastAsiaTheme="minorEastAsia" w:hAnsiTheme="minorHAnsi" w:cstheme="minorBidi"/>
          <w:sz w:val="22"/>
          <w:szCs w:val="22"/>
          <w:lang w:val="en-US"/>
        </w:rPr>
        <w:tab/>
      </w:r>
      <w:r w:rsidRPr="003B00A4">
        <w:rPr>
          <w:bCs/>
          <w:color w:val="323232"/>
        </w:rPr>
        <w:t>Pu</w:t>
      </w:r>
      <w:r>
        <w:t>rpose with gap-analysis</w:t>
      </w:r>
      <w:r>
        <w:tab/>
      </w:r>
      <w:r w:rsidR="00DD3CFD">
        <w:fldChar w:fldCharType="begin"/>
      </w:r>
      <w:r>
        <w:instrText xml:space="preserve"> PAGEREF _Toc246977601 \h </w:instrText>
      </w:r>
      <w:r w:rsidR="00DD3CFD">
        <w:fldChar w:fldCharType="separate"/>
      </w:r>
      <w:r>
        <w:t>7</w:t>
      </w:r>
      <w:r w:rsidR="00DD3CFD">
        <w:fldChar w:fldCharType="end"/>
      </w:r>
    </w:p>
    <w:p w:rsidR="007B0822" w:rsidRDefault="007B0822">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Types of gaps</w:t>
      </w:r>
      <w:r>
        <w:tab/>
      </w:r>
      <w:r w:rsidR="00DD3CFD">
        <w:fldChar w:fldCharType="begin"/>
      </w:r>
      <w:r>
        <w:instrText xml:space="preserve"> PAGEREF _Toc246977602 \h </w:instrText>
      </w:r>
      <w:r w:rsidR="00DD3CFD">
        <w:fldChar w:fldCharType="separate"/>
      </w:r>
      <w:r>
        <w:t>7</w:t>
      </w:r>
      <w:r w:rsidR="00DD3CFD">
        <w:fldChar w:fldCharType="end"/>
      </w:r>
    </w:p>
    <w:p w:rsidR="007B0822" w:rsidRDefault="007B0822">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Consequences of gaps</w:t>
      </w:r>
      <w:r>
        <w:tab/>
      </w:r>
      <w:r w:rsidR="00DD3CFD">
        <w:fldChar w:fldCharType="begin"/>
      </w:r>
      <w:r>
        <w:instrText xml:space="preserve"> PAGEREF _Toc246977603 \h </w:instrText>
      </w:r>
      <w:r w:rsidR="00DD3CFD">
        <w:fldChar w:fldCharType="separate"/>
      </w:r>
      <w:r>
        <w:t>8</w:t>
      </w:r>
      <w:r w:rsidR="00DD3CFD">
        <w:fldChar w:fldCharType="end"/>
      </w:r>
    </w:p>
    <w:p w:rsidR="007B0822" w:rsidRDefault="007B0822">
      <w:pPr>
        <w:pStyle w:val="TOC8"/>
        <w:rPr>
          <w:rFonts w:asciiTheme="minorHAnsi" w:eastAsiaTheme="minorEastAsia" w:hAnsiTheme="minorHAnsi" w:cstheme="minorBidi"/>
          <w:b w:val="0"/>
          <w:szCs w:val="22"/>
          <w:lang w:val="en-US"/>
        </w:rPr>
      </w:pPr>
      <w:r>
        <w:t>Annex: CWA</w:t>
      </w:r>
      <w:r>
        <w:tab/>
      </w:r>
      <w:r w:rsidR="00DD3CFD">
        <w:fldChar w:fldCharType="begin"/>
      </w:r>
      <w:r>
        <w:instrText xml:space="preserve"> PAGEREF _Toc246977604 \h </w:instrText>
      </w:r>
      <w:r w:rsidR="00DD3CFD">
        <w:fldChar w:fldCharType="separate"/>
      </w:r>
      <w:r>
        <w:t>9</w:t>
      </w:r>
      <w:r w:rsidR="00DD3CFD">
        <w:fldChar w:fldCharType="end"/>
      </w:r>
    </w:p>
    <w:p w:rsidR="007B0822" w:rsidRDefault="007B0822">
      <w:pPr>
        <w:pStyle w:val="TOC9"/>
        <w:tabs>
          <w:tab w:val="left" w:pos="1418"/>
        </w:tabs>
        <w:rPr>
          <w:rFonts w:asciiTheme="minorHAnsi" w:eastAsiaTheme="minorEastAsia" w:hAnsiTheme="minorHAnsi" w:cstheme="minorBidi"/>
          <w:b w:val="0"/>
          <w:szCs w:val="22"/>
          <w:lang w:val="en-US"/>
        </w:rPr>
      </w:pPr>
      <w:r>
        <w:t>Annex A:</w:t>
      </w:r>
      <w:r>
        <w:rPr>
          <w:rFonts w:asciiTheme="minorHAnsi" w:eastAsiaTheme="minorEastAsia" w:hAnsiTheme="minorHAnsi" w:cstheme="minorBidi"/>
          <w:b w:val="0"/>
          <w:szCs w:val="22"/>
          <w:lang w:val="en-US"/>
        </w:rPr>
        <w:tab/>
      </w:r>
      <w:r>
        <w:t>BII UN/CEFACT CCL mapping</w:t>
      </w:r>
      <w:r>
        <w:tab/>
      </w:r>
      <w:r w:rsidR="00DD3CFD">
        <w:fldChar w:fldCharType="begin"/>
      </w:r>
      <w:r>
        <w:instrText xml:space="preserve"> PAGEREF _Toc246977605 \h </w:instrText>
      </w:r>
      <w:r w:rsidR="00DD3CFD">
        <w:fldChar w:fldCharType="separate"/>
      </w:r>
      <w:r>
        <w:t>9</w:t>
      </w:r>
      <w:r w:rsidR="00DD3CFD">
        <w:fldChar w:fldCharType="end"/>
      </w:r>
    </w:p>
    <w:p w:rsidR="007B0822" w:rsidRDefault="007B0822">
      <w:pPr>
        <w:pStyle w:val="TOC9"/>
        <w:tabs>
          <w:tab w:val="left" w:pos="1418"/>
        </w:tabs>
        <w:rPr>
          <w:rFonts w:asciiTheme="minorHAnsi" w:eastAsiaTheme="minorEastAsia" w:hAnsiTheme="minorHAnsi" w:cstheme="minorBidi"/>
          <w:b w:val="0"/>
          <w:szCs w:val="22"/>
          <w:lang w:val="en-US"/>
        </w:rPr>
      </w:pPr>
      <w:r>
        <w:t>Annex B:</w:t>
      </w:r>
      <w:r>
        <w:rPr>
          <w:rFonts w:asciiTheme="minorHAnsi" w:eastAsiaTheme="minorEastAsia" w:hAnsiTheme="minorHAnsi" w:cstheme="minorBidi"/>
          <w:b w:val="0"/>
          <w:szCs w:val="22"/>
          <w:lang w:val="en-US"/>
        </w:rPr>
        <w:tab/>
      </w:r>
      <w:r>
        <w:t>BII ISO 20022 mapping</w:t>
      </w:r>
      <w:r>
        <w:tab/>
      </w:r>
      <w:r w:rsidR="00DD3CFD">
        <w:fldChar w:fldCharType="begin"/>
      </w:r>
      <w:r>
        <w:instrText xml:space="preserve"> PAGEREF _Toc246977606 \h </w:instrText>
      </w:r>
      <w:r w:rsidR="00DD3CFD">
        <w:fldChar w:fldCharType="separate"/>
      </w:r>
      <w:r>
        <w:t>9</w:t>
      </w:r>
      <w:r w:rsidR="00DD3CFD">
        <w:fldChar w:fldCharType="end"/>
      </w:r>
    </w:p>
    <w:p w:rsidR="00D35F95" w:rsidRDefault="00DD3CFD">
      <w:r>
        <w:fldChar w:fldCharType="end"/>
      </w:r>
    </w:p>
    <w:p w:rsidR="00D35F95" w:rsidRDefault="00D35F95">
      <w:pPr>
        <w:pStyle w:val="Heading1"/>
      </w:pPr>
      <w:bookmarkStart w:id="1" w:name="_Toc246977594"/>
      <w:r>
        <w:lastRenderedPageBreak/>
        <w:t>Foreword</w:t>
      </w:r>
      <w:bookmarkEnd w:id="1"/>
    </w:p>
    <w:p w:rsidR="00AD62F7" w:rsidRPr="00D704BD" w:rsidRDefault="00AD62F7" w:rsidP="00AD62F7">
      <w:pPr>
        <w:pStyle w:val="BodyText"/>
        <w:rPr>
          <w:iCs/>
        </w:rPr>
      </w:pPr>
      <w:r>
        <w:rPr>
          <w:iCs/>
        </w:rPr>
        <w:t xml:space="preserve">This CWA  is </w:t>
      </w:r>
      <w:r w:rsidRPr="00AD62F7">
        <w:rPr>
          <w:iCs/>
        </w:rPr>
        <w:t>part 2</w:t>
      </w:r>
      <w:r>
        <w:rPr>
          <w:iCs/>
        </w:rPr>
        <w:t xml:space="preserve"> of a </w:t>
      </w:r>
      <w:r w:rsidRPr="00D704BD">
        <w:rPr>
          <w:iCs/>
        </w:rPr>
        <w:t>multi-parts CWA</w:t>
      </w:r>
      <w:r>
        <w:rPr>
          <w:iCs/>
        </w:rPr>
        <w:t>. It</w:t>
      </w:r>
      <w:r w:rsidRPr="00D704BD">
        <w:rPr>
          <w:iCs/>
        </w:rPr>
        <w:t xml:space="preserve"> has been prepared by the CEN/ISSS Workshop on Business Interoperability Interfaces for Public procurement in Europe</w:t>
      </w:r>
      <w:r w:rsidRPr="00D704BD">
        <w:rPr>
          <w:b/>
          <w:bCs/>
          <w:iCs/>
        </w:rPr>
        <w:t xml:space="preserve"> </w:t>
      </w:r>
      <w:r w:rsidRPr="00D704BD">
        <w:rPr>
          <w:iCs/>
        </w:rPr>
        <w:t>(WS/BII)</w:t>
      </w:r>
    </w:p>
    <w:p w:rsidR="00AD62F7" w:rsidRDefault="00AD62F7" w:rsidP="00AD62F7">
      <w:pPr>
        <w:pStyle w:val="BodyText"/>
        <w:rPr>
          <w:iCs/>
        </w:rPr>
      </w:pPr>
    </w:p>
    <w:p w:rsidR="00AD62F7" w:rsidRPr="00D704BD" w:rsidRDefault="00AD62F7" w:rsidP="00AD62F7">
      <w:pPr>
        <w:pStyle w:val="BodyText"/>
        <w:rPr>
          <w:iCs/>
        </w:rPr>
      </w:pPr>
      <w:r w:rsidRPr="00D704BD">
        <w:rPr>
          <w:iCs/>
        </w:rPr>
        <w:t xml:space="preserve">The </w:t>
      </w:r>
      <w:r>
        <w:rPr>
          <w:iCs/>
        </w:rPr>
        <w:t xml:space="preserve">multi-parts </w:t>
      </w:r>
      <w:r w:rsidRPr="00D704BD">
        <w:rPr>
          <w:iCs/>
        </w:rPr>
        <w:t xml:space="preserve">CWA has been </w:t>
      </w:r>
      <w:r>
        <w:rPr>
          <w:iCs/>
        </w:rPr>
        <w:t xml:space="preserve">officially </w:t>
      </w:r>
      <w:r w:rsidRPr="00D704BD">
        <w:rPr>
          <w:iCs/>
        </w:rPr>
        <w:t xml:space="preserve">approved at the final </w:t>
      </w:r>
      <w:r>
        <w:rPr>
          <w:iCs/>
        </w:rPr>
        <w:t>WS/BII</w:t>
      </w:r>
      <w:r w:rsidRPr="00D704BD">
        <w:rPr>
          <w:iCs/>
        </w:rPr>
        <w:t xml:space="preserve"> </w:t>
      </w:r>
      <w:r>
        <w:rPr>
          <w:iCs/>
        </w:rPr>
        <w:t>Plenary M</w:t>
      </w:r>
      <w:r w:rsidRPr="00D704BD">
        <w:rPr>
          <w:iCs/>
        </w:rPr>
        <w:t>eeting on 4 November 2009.</w:t>
      </w:r>
    </w:p>
    <w:p w:rsidR="00AD62F7" w:rsidRDefault="00AD62F7" w:rsidP="00AD62F7">
      <w:pPr>
        <w:pStyle w:val="BodyText"/>
        <w:rPr>
          <w:iCs/>
        </w:rPr>
      </w:pPr>
    </w:p>
    <w:p w:rsidR="00AD62F7" w:rsidRPr="00D704BD" w:rsidRDefault="00AD62F7" w:rsidP="00AD62F7">
      <w:pPr>
        <w:pStyle w:val="BodyText"/>
        <w:rPr>
          <w:iCs/>
        </w:rPr>
      </w:pPr>
      <w:r w:rsidRPr="00D704BD">
        <w:rPr>
          <w:iCs/>
        </w:rPr>
        <w:t>This CEN Workshop Agreement is publicly available as a reference document from the National Members of CEN: AENOR, AFNOR, ASRO, BSI, CSNI, CYS, DIN, DS, ELOT, EVS, IBN, IPQ, IST, LVS, LST, MSA, MSZT, NEN, NSAI, ON, PKN, SEE, SIS, SIST, SFS, SN, SNV, SUTN and UNI.</w:t>
      </w:r>
    </w:p>
    <w:p w:rsidR="00AD62F7" w:rsidRPr="00D704BD" w:rsidRDefault="00AD62F7" w:rsidP="00AD62F7">
      <w:pPr>
        <w:pStyle w:val="BodyText"/>
        <w:rPr>
          <w:iCs/>
        </w:rPr>
      </w:pPr>
      <w:r w:rsidRPr="00D704BD">
        <w:rPr>
          <w:iCs/>
        </w:rPr>
        <w:t> </w:t>
      </w:r>
    </w:p>
    <w:p w:rsidR="00AD62F7" w:rsidRPr="00D704BD" w:rsidRDefault="00AD62F7" w:rsidP="00AD62F7">
      <w:pPr>
        <w:pStyle w:val="BodyText"/>
        <w:rPr>
          <w:iCs/>
        </w:rPr>
      </w:pPr>
      <w:r w:rsidRPr="00D704BD">
        <w:rPr>
          <w:iCs/>
        </w:rPr>
        <w:t>The current document is</w:t>
      </w:r>
      <w:r>
        <w:rPr>
          <w:iCs/>
        </w:rPr>
        <w:t xml:space="preserve">: </w:t>
      </w:r>
      <w:r w:rsidRPr="00D704BD">
        <w:rPr>
          <w:iCs/>
        </w:rPr>
        <w:t xml:space="preserve"> </w:t>
      </w:r>
      <w:r>
        <w:rPr>
          <w:iCs/>
        </w:rPr>
        <w:t xml:space="preserve">Part </w:t>
      </w:r>
      <w:r w:rsidRPr="00AD62F7">
        <w:rPr>
          <w:iCs/>
        </w:rPr>
        <w:t>2 - Convergence and gap analyses</w:t>
      </w:r>
    </w:p>
    <w:p w:rsidR="00AD62F7" w:rsidRPr="00D704BD" w:rsidRDefault="00AD62F7" w:rsidP="00AD62F7">
      <w:pPr>
        <w:pStyle w:val="BodyText"/>
        <w:rPr>
          <w:iCs/>
        </w:rPr>
      </w:pPr>
    </w:p>
    <w:p w:rsidR="00AD62F7" w:rsidRPr="00D704BD" w:rsidRDefault="00AD62F7" w:rsidP="00AD62F7">
      <w:pPr>
        <w:pStyle w:val="BodyText"/>
        <w:rPr>
          <w:iCs/>
        </w:rPr>
      </w:pPr>
      <w:r w:rsidRPr="00D704BD">
        <w:rPr>
          <w:iCs/>
        </w:rPr>
        <w:t>The different parts</w:t>
      </w:r>
      <w:r>
        <w:rPr>
          <w:iCs/>
        </w:rPr>
        <w:t xml:space="preserve"> of the multi-parts CWA </w:t>
      </w:r>
      <w:r w:rsidRPr="00D704BD">
        <w:rPr>
          <w:iCs/>
        </w:rPr>
        <w:t>are:</w:t>
      </w:r>
      <w:r>
        <w:rPr>
          <w:iCs/>
        </w:rPr>
        <w:br/>
      </w:r>
    </w:p>
    <w:p w:rsidR="00AD62F7" w:rsidRPr="00D704BD" w:rsidRDefault="00AD62F7" w:rsidP="00AD62F7">
      <w:pPr>
        <w:pStyle w:val="BodyText"/>
        <w:numPr>
          <w:ilvl w:val="0"/>
          <w:numId w:val="10"/>
        </w:numPr>
        <w:overflowPunct/>
        <w:autoSpaceDE/>
        <w:autoSpaceDN/>
        <w:adjustRightInd/>
        <w:spacing w:after="120"/>
        <w:textAlignment w:val="auto"/>
        <w:rPr>
          <w:iCs/>
        </w:rPr>
      </w:pPr>
      <w:r w:rsidRPr="00D704BD">
        <w:rPr>
          <w:iCs/>
        </w:rPr>
        <w:t>Part 0: Introduction</w:t>
      </w:r>
    </w:p>
    <w:p w:rsidR="00AD62F7" w:rsidRPr="00D704BD" w:rsidRDefault="00AD62F7" w:rsidP="00AD62F7">
      <w:pPr>
        <w:pStyle w:val="BodyText"/>
        <w:numPr>
          <w:ilvl w:val="0"/>
          <w:numId w:val="10"/>
        </w:numPr>
        <w:overflowPunct/>
        <w:autoSpaceDE/>
        <w:autoSpaceDN/>
        <w:adjustRightInd/>
        <w:spacing w:after="120"/>
        <w:textAlignment w:val="auto"/>
        <w:rPr>
          <w:iCs/>
        </w:rPr>
      </w:pPr>
      <w:r w:rsidRPr="00D704BD">
        <w:rPr>
          <w:iCs/>
        </w:rPr>
        <w:t>Part 1: Profile overview</w:t>
      </w:r>
    </w:p>
    <w:p w:rsidR="00AD62F7" w:rsidRPr="00D704BD" w:rsidRDefault="00AD62F7" w:rsidP="00AD62F7">
      <w:pPr>
        <w:pStyle w:val="BodyText"/>
        <w:numPr>
          <w:ilvl w:val="0"/>
          <w:numId w:val="10"/>
        </w:numPr>
        <w:overflowPunct/>
        <w:autoSpaceDE/>
        <w:autoSpaceDN/>
        <w:adjustRightInd/>
        <w:spacing w:after="120"/>
        <w:textAlignment w:val="auto"/>
        <w:rPr>
          <w:iCs/>
        </w:rPr>
      </w:pPr>
      <w:r w:rsidRPr="00D704BD">
        <w:rPr>
          <w:iCs/>
        </w:rPr>
        <w:t xml:space="preserve">Part 2: </w:t>
      </w:r>
      <w:r w:rsidR="00F2189A">
        <w:t>UBL-UN/CEFACT convergence</w:t>
      </w:r>
    </w:p>
    <w:p w:rsidR="00AD62F7" w:rsidRPr="00D704BD" w:rsidRDefault="00AD62F7" w:rsidP="00AD62F7">
      <w:pPr>
        <w:pStyle w:val="BodyText"/>
        <w:numPr>
          <w:ilvl w:val="0"/>
          <w:numId w:val="10"/>
        </w:numPr>
        <w:overflowPunct/>
        <w:autoSpaceDE/>
        <w:autoSpaceDN/>
        <w:adjustRightInd/>
        <w:spacing w:after="120"/>
        <w:textAlignment w:val="auto"/>
        <w:rPr>
          <w:iCs/>
        </w:rPr>
      </w:pPr>
      <w:r w:rsidRPr="00D704BD">
        <w:rPr>
          <w:iCs/>
        </w:rPr>
        <w:t xml:space="preserve">Part 3: </w:t>
      </w:r>
      <w:r w:rsidR="00F2189A" w:rsidRPr="005D491E">
        <w:t>Toolbox Requirements</w:t>
      </w:r>
    </w:p>
    <w:p w:rsidR="00AD62F7" w:rsidRPr="00D704BD" w:rsidRDefault="00AD62F7" w:rsidP="00AD62F7">
      <w:pPr>
        <w:pStyle w:val="BodyText"/>
        <w:numPr>
          <w:ilvl w:val="0"/>
          <w:numId w:val="10"/>
        </w:numPr>
        <w:overflowPunct/>
        <w:autoSpaceDE/>
        <w:autoSpaceDN/>
        <w:adjustRightInd/>
        <w:spacing w:after="120"/>
        <w:textAlignment w:val="auto"/>
        <w:rPr>
          <w:iCs/>
        </w:rPr>
      </w:pPr>
      <w:r w:rsidRPr="00D704BD">
        <w:rPr>
          <w:iCs/>
        </w:rPr>
        <w:t>Part 4: Evaluation guidelines for testing and piloting</w:t>
      </w:r>
    </w:p>
    <w:p w:rsidR="00AD62F7" w:rsidRPr="00D704BD" w:rsidRDefault="00AD62F7" w:rsidP="00AD62F7">
      <w:pPr>
        <w:pStyle w:val="BodyText"/>
        <w:rPr>
          <w:iCs/>
        </w:rPr>
      </w:pPr>
    </w:p>
    <w:p w:rsidR="00AD62F7" w:rsidRPr="00D704BD" w:rsidRDefault="00AD62F7" w:rsidP="00AD62F7">
      <w:pPr>
        <w:pStyle w:val="BodyText"/>
        <w:rPr>
          <w:iCs/>
        </w:rPr>
      </w:pPr>
      <w:r w:rsidRPr="00D704BD">
        <w:rPr>
          <w:iCs/>
        </w:rPr>
        <w:t>Here is the list of the companies whic</w:t>
      </w:r>
      <w:r>
        <w:rPr>
          <w:iCs/>
        </w:rPr>
        <w:t>h have officially endorsed the </w:t>
      </w:r>
      <w:r w:rsidRPr="00D704BD">
        <w:rPr>
          <w:iCs/>
        </w:rPr>
        <w:t>multi-parts  CWA:</w:t>
      </w:r>
    </w:p>
    <w:p w:rsidR="00AD62F7" w:rsidRDefault="00AD62F7" w:rsidP="00AD62F7">
      <w:pPr>
        <w:pStyle w:val="BodyText"/>
        <w:rPr>
          <w:iCs/>
        </w:rPr>
      </w:pPr>
    </w:p>
    <w:p w:rsidR="00AD62F7" w:rsidRPr="008F2207" w:rsidRDefault="00AD62F7" w:rsidP="00AD62F7">
      <w:pPr>
        <w:pStyle w:val="BodyText"/>
        <w:spacing w:after="120"/>
        <w:rPr>
          <w:iCs/>
        </w:rPr>
      </w:pPr>
      <w:r w:rsidRPr="008F2207">
        <w:rPr>
          <w:iCs/>
        </w:rPr>
        <w:t>A.N.C.R.T.I. – Romania</w:t>
      </w:r>
    </w:p>
    <w:p w:rsidR="00AD62F7" w:rsidRPr="008F2207" w:rsidRDefault="00AD62F7" w:rsidP="00AD62F7">
      <w:pPr>
        <w:pStyle w:val="BodyText"/>
        <w:spacing w:after="120"/>
        <w:rPr>
          <w:iCs/>
        </w:rPr>
      </w:pPr>
      <w:r w:rsidRPr="008F2207">
        <w:rPr>
          <w:iCs/>
        </w:rPr>
        <w:t>BMF – Austria</w:t>
      </w:r>
    </w:p>
    <w:p w:rsidR="00AD62F7" w:rsidRPr="008F2207" w:rsidRDefault="00AD62F7" w:rsidP="00AD62F7">
      <w:pPr>
        <w:pStyle w:val="BodyText"/>
        <w:spacing w:after="120"/>
        <w:rPr>
          <w:iCs/>
        </w:rPr>
      </w:pPr>
      <w:r w:rsidRPr="008F2207">
        <w:rPr>
          <w:iCs/>
        </w:rPr>
        <w:t>Bos | Bremen online services GmbH &amp; Co. KG – Germany</w:t>
      </w:r>
    </w:p>
    <w:p w:rsidR="00AD62F7" w:rsidRPr="00AD62F7" w:rsidRDefault="00AD62F7" w:rsidP="00AD62F7">
      <w:pPr>
        <w:pStyle w:val="BodyText"/>
        <w:spacing w:after="120"/>
        <w:rPr>
          <w:iCs/>
          <w:lang w:val="fr-BE"/>
        </w:rPr>
      </w:pPr>
      <w:r w:rsidRPr="00AD62F7">
        <w:rPr>
          <w:iCs/>
          <w:lang w:val="fr-BE"/>
        </w:rPr>
        <w:t>Cel e-Procurement FOD Personeel en Organisatie – Belgium</w:t>
      </w:r>
    </w:p>
    <w:p w:rsidR="00AD62F7" w:rsidRPr="00AD62F7" w:rsidRDefault="00AD62F7" w:rsidP="00AD62F7">
      <w:pPr>
        <w:pStyle w:val="BodyText"/>
        <w:spacing w:after="120"/>
        <w:rPr>
          <w:iCs/>
          <w:lang w:val="fr-BE"/>
        </w:rPr>
      </w:pPr>
      <w:r w:rsidRPr="00AD62F7">
        <w:rPr>
          <w:iCs/>
          <w:lang w:val="fr-BE"/>
        </w:rPr>
        <w:t>CONSIP S.p.A – Italy</w:t>
      </w:r>
    </w:p>
    <w:p w:rsidR="00AD62F7" w:rsidRPr="00AD62F7" w:rsidRDefault="00AD62F7" w:rsidP="00AD62F7">
      <w:pPr>
        <w:pStyle w:val="BodyText"/>
        <w:spacing w:after="120"/>
        <w:rPr>
          <w:iCs/>
          <w:lang w:val="fr-BE"/>
        </w:rPr>
      </w:pPr>
      <w:r w:rsidRPr="00AD62F7">
        <w:rPr>
          <w:iCs/>
          <w:lang w:val="fr-BE"/>
        </w:rPr>
        <w:t>CSI Piemonte – Italy</w:t>
      </w:r>
    </w:p>
    <w:p w:rsidR="00AD62F7" w:rsidRPr="008F2207" w:rsidRDefault="00AD62F7" w:rsidP="00AD62F7">
      <w:pPr>
        <w:pStyle w:val="BodyText"/>
        <w:spacing w:after="120"/>
        <w:rPr>
          <w:iCs/>
        </w:rPr>
      </w:pPr>
      <w:r w:rsidRPr="008F2207">
        <w:rPr>
          <w:iCs/>
        </w:rPr>
        <w:t>Danske Regioner – Denmark</w:t>
      </w:r>
    </w:p>
    <w:p w:rsidR="00AD62F7" w:rsidRPr="008F2207" w:rsidRDefault="00AD62F7" w:rsidP="00AD62F7">
      <w:pPr>
        <w:pStyle w:val="BodyText"/>
        <w:spacing w:after="120"/>
        <w:rPr>
          <w:iCs/>
        </w:rPr>
      </w:pPr>
      <w:r w:rsidRPr="008F2207">
        <w:rPr>
          <w:iCs/>
        </w:rPr>
        <w:t>Document Engineering Services Ltd. – United Kingdom</w:t>
      </w:r>
    </w:p>
    <w:p w:rsidR="00AD62F7" w:rsidRPr="008F2207" w:rsidRDefault="00AD62F7" w:rsidP="00AD62F7">
      <w:pPr>
        <w:pStyle w:val="BodyText"/>
        <w:spacing w:after="120"/>
        <w:rPr>
          <w:iCs/>
        </w:rPr>
      </w:pPr>
      <w:r w:rsidRPr="008F2207">
        <w:rPr>
          <w:iCs/>
        </w:rPr>
        <w:t>D.G. Patrimonio del Estado/Ministerio de Economia – Spain</w:t>
      </w:r>
    </w:p>
    <w:p w:rsidR="00AD62F7" w:rsidRPr="008F2207" w:rsidRDefault="00AD62F7" w:rsidP="00AD62F7">
      <w:pPr>
        <w:pStyle w:val="BodyText"/>
        <w:spacing w:after="120"/>
        <w:rPr>
          <w:iCs/>
        </w:rPr>
      </w:pPr>
      <w:r w:rsidRPr="008F2207">
        <w:rPr>
          <w:iCs/>
        </w:rPr>
        <w:t>EDI &amp; Business Integration MACH ApS – Denmark</w:t>
      </w:r>
    </w:p>
    <w:p w:rsidR="00AD62F7" w:rsidRPr="008F2207" w:rsidRDefault="00AD62F7" w:rsidP="00AD62F7">
      <w:pPr>
        <w:pStyle w:val="BodyText"/>
        <w:spacing w:after="120"/>
        <w:rPr>
          <w:iCs/>
        </w:rPr>
      </w:pPr>
      <w:r w:rsidRPr="008F2207">
        <w:rPr>
          <w:iCs/>
        </w:rPr>
        <w:t>ENEA – Italy</w:t>
      </w:r>
    </w:p>
    <w:p w:rsidR="00AD62F7" w:rsidRPr="008F2207" w:rsidRDefault="00AD62F7" w:rsidP="00AD62F7">
      <w:pPr>
        <w:pStyle w:val="BodyText"/>
        <w:spacing w:after="120"/>
        <w:rPr>
          <w:iCs/>
        </w:rPr>
      </w:pPr>
      <w:r w:rsidRPr="008F2207">
        <w:rPr>
          <w:iCs/>
        </w:rPr>
        <w:t>GS1 Europe – Netherlands</w:t>
      </w:r>
    </w:p>
    <w:p w:rsidR="00AD62F7" w:rsidRPr="008F2207" w:rsidRDefault="00AD62F7" w:rsidP="00AD62F7">
      <w:pPr>
        <w:pStyle w:val="BodyText"/>
        <w:spacing w:after="120"/>
        <w:rPr>
          <w:iCs/>
        </w:rPr>
      </w:pPr>
      <w:r w:rsidRPr="008F2207">
        <w:rPr>
          <w:iCs/>
        </w:rPr>
        <w:t>IBM – Denmark</w:t>
      </w:r>
    </w:p>
    <w:p w:rsidR="00AD62F7" w:rsidRPr="008F2207" w:rsidRDefault="00AD62F7" w:rsidP="00AD62F7">
      <w:pPr>
        <w:pStyle w:val="BodyText"/>
        <w:spacing w:after="120"/>
        <w:rPr>
          <w:iCs/>
        </w:rPr>
      </w:pPr>
      <w:r w:rsidRPr="008F2207">
        <w:rPr>
          <w:iCs/>
        </w:rPr>
        <w:t>INFOCERT spa – Italy</w:t>
      </w:r>
    </w:p>
    <w:p w:rsidR="00AD62F7" w:rsidRPr="008F2207" w:rsidRDefault="00AD62F7" w:rsidP="00AD62F7">
      <w:pPr>
        <w:pStyle w:val="BodyText"/>
        <w:spacing w:after="120"/>
        <w:rPr>
          <w:iCs/>
        </w:rPr>
      </w:pPr>
      <w:r w:rsidRPr="008F2207">
        <w:rPr>
          <w:iCs/>
        </w:rPr>
        <w:t>Innovasion – Denmark</w:t>
      </w:r>
    </w:p>
    <w:p w:rsidR="00AD62F7" w:rsidRPr="008F2207" w:rsidRDefault="00AD62F7" w:rsidP="00AD62F7">
      <w:pPr>
        <w:pStyle w:val="BodyText"/>
        <w:spacing w:after="120"/>
        <w:rPr>
          <w:iCs/>
        </w:rPr>
      </w:pPr>
      <w:r w:rsidRPr="008F2207">
        <w:rPr>
          <w:iCs/>
        </w:rPr>
        <w:t>International Surety Association (ISA) – Holland</w:t>
      </w:r>
    </w:p>
    <w:p w:rsidR="00AD62F7" w:rsidRPr="008F2207" w:rsidRDefault="00AD62F7" w:rsidP="00AD62F7">
      <w:pPr>
        <w:pStyle w:val="BodyText"/>
        <w:spacing w:after="120"/>
        <w:rPr>
          <w:iCs/>
        </w:rPr>
      </w:pPr>
      <w:r w:rsidRPr="008F2207">
        <w:rPr>
          <w:iCs/>
        </w:rPr>
        <w:t>JustSystems EMEA Limited – United Kingdom</w:t>
      </w:r>
    </w:p>
    <w:p w:rsidR="00AD62F7" w:rsidRPr="008F2207" w:rsidRDefault="00AD62F7" w:rsidP="00AD62F7">
      <w:pPr>
        <w:pStyle w:val="BodyText"/>
        <w:spacing w:after="120"/>
        <w:rPr>
          <w:iCs/>
        </w:rPr>
      </w:pPr>
      <w:r w:rsidRPr="008F2207">
        <w:rPr>
          <w:iCs/>
        </w:rPr>
        <w:t>KSZF – Hungary</w:t>
      </w:r>
    </w:p>
    <w:p w:rsidR="00AD62F7" w:rsidRPr="008F2207" w:rsidRDefault="00AD62F7" w:rsidP="00AD62F7">
      <w:pPr>
        <w:pStyle w:val="BodyText"/>
        <w:spacing w:after="120"/>
        <w:rPr>
          <w:iCs/>
        </w:rPr>
      </w:pPr>
      <w:r w:rsidRPr="008F2207">
        <w:rPr>
          <w:iCs/>
        </w:rPr>
        <w:t>Logica – Denmark</w:t>
      </w:r>
    </w:p>
    <w:p w:rsidR="00AD62F7" w:rsidRPr="008F2207" w:rsidRDefault="00AD62F7" w:rsidP="00AD62F7">
      <w:pPr>
        <w:pStyle w:val="BodyText"/>
        <w:spacing w:after="120"/>
        <w:rPr>
          <w:iCs/>
        </w:rPr>
      </w:pPr>
      <w:r w:rsidRPr="008F2207">
        <w:rPr>
          <w:iCs/>
        </w:rPr>
        <w:t>Microsoft Denmark ApS – Denmark</w:t>
      </w:r>
    </w:p>
    <w:p w:rsidR="00AD62F7" w:rsidRPr="008F2207" w:rsidRDefault="00AD62F7" w:rsidP="00AD62F7">
      <w:pPr>
        <w:pStyle w:val="BodyText"/>
        <w:spacing w:after="120"/>
        <w:rPr>
          <w:iCs/>
          <w:lang w:val="fr-BE"/>
        </w:rPr>
      </w:pPr>
      <w:r w:rsidRPr="008F2207">
        <w:rPr>
          <w:iCs/>
          <w:lang w:val="fr-BE"/>
        </w:rPr>
        <w:t xml:space="preserve">Ministère des Travaux Publics – Luxembourg </w:t>
      </w:r>
    </w:p>
    <w:p w:rsidR="00AD62F7" w:rsidRPr="008F2207" w:rsidRDefault="00AD62F7" w:rsidP="00AD62F7">
      <w:pPr>
        <w:pStyle w:val="BodyText"/>
        <w:spacing w:after="120"/>
        <w:rPr>
          <w:iCs/>
          <w:lang w:val="fr-BE"/>
        </w:rPr>
      </w:pPr>
      <w:r w:rsidRPr="008F2207">
        <w:rPr>
          <w:iCs/>
          <w:lang w:val="fr-BE"/>
        </w:rPr>
        <w:t>Ministerie van Economische Zaken  – Holland</w:t>
      </w:r>
    </w:p>
    <w:p w:rsidR="00AD62F7" w:rsidRPr="008F2207" w:rsidRDefault="00AD62F7" w:rsidP="00AD62F7">
      <w:pPr>
        <w:pStyle w:val="BodyText"/>
        <w:spacing w:after="120"/>
        <w:rPr>
          <w:iCs/>
        </w:rPr>
      </w:pPr>
      <w:r w:rsidRPr="008F2207">
        <w:rPr>
          <w:iCs/>
        </w:rPr>
        <w:t>National IT and Telecom Agency – Denmark</w:t>
      </w:r>
    </w:p>
    <w:p w:rsidR="00AD62F7" w:rsidRPr="008F2207" w:rsidRDefault="00AD62F7" w:rsidP="00AD62F7">
      <w:pPr>
        <w:pStyle w:val="BodyText"/>
        <w:spacing w:after="120"/>
        <w:rPr>
          <w:iCs/>
        </w:rPr>
      </w:pPr>
      <w:r w:rsidRPr="008F2207">
        <w:rPr>
          <w:iCs/>
        </w:rPr>
        <w:lastRenderedPageBreak/>
        <w:t>NEXUS IT – Spain</w:t>
      </w:r>
    </w:p>
    <w:p w:rsidR="00AD62F7" w:rsidRPr="008F2207" w:rsidRDefault="00AD62F7" w:rsidP="00AD62F7">
      <w:pPr>
        <w:pStyle w:val="BodyText"/>
        <w:spacing w:after="120"/>
        <w:rPr>
          <w:iCs/>
        </w:rPr>
      </w:pPr>
      <w:r w:rsidRPr="008F2207">
        <w:rPr>
          <w:iCs/>
        </w:rPr>
        <w:t>Norstella foundation – Norway</w:t>
      </w:r>
    </w:p>
    <w:p w:rsidR="00AD62F7" w:rsidRPr="008F2207" w:rsidRDefault="00AD62F7" w:rsidP="00AD62F7">
      <w:pPr>
        <w:pStyle w:val="BodyText"/>
        <w:spacing w:after="120"/>
        <w:rPr>
          <w:iCs/>
        </w:rPr>
      </w:pPr>
      <w:r w:rsidRPr="008F2207">
        <w:rPr>
          <w:iCs/>
        </w:rPr>
        <w:t>Norwegian eProcurement Secretariaat – Norway</w:t>
      </w:r>
    </w:p>
    <w:p w:rsidR="00AD62F7" w:rsidRPr="008F2207" w:rsidRDefault="00AD62F7" w:rsidP="00AD62F7">
      <w:pPr>
        <w:pStyle w:val="BodyText"/>
        <w:spacing w:after="120"/>
        <w:rPr>
          <w:iCs/>
        </w:rPr>
      </w:pPr>
      <w:r w:rsidRPr="008F2207">
        <w:rPr>
          <w:iCs/>
        </w:rPr>
        <w:t>PricewaterhouseCoopers Enterprises Advisory – Belgium</w:t>
      </w:r>
    </w:p>
    <w:p w:rsidR="00AD62F7" w:rsidRPr="008F2207" w:rsidRDefault="00AD62F7" w:rsidP="00AD62F7">
      <w:pPr>
        <w:pStyle w:val="BodyText"/>
        <w:spacing w:after="120"/>
        <w:rPr>
          <w:iCs/>
        </w:rPr>
      </w:pPr>
      <w:r w:rsidRPr="008F2207">
        <w:rPr>
          <w:iCs/>
        </w:rPr>
        <w:t>Supplier e-enablement &amp; P2P Manager eProcurement Scotl@nd Programme Office – Scotland</w:t>
      </w:r>
    </w:p>
    <w:p w:rsidR="00AD62F7" w:rsidRPr="00EE6773" w:rsidRDefault="00AD62F7" w:rsidP="00AD62F7">
      <w:pPr>
        <w:pStyle w:val="BodyText"/>
        <w:spacing w:after="120"/>
        <w:rPr>
          <w:iCs/>
          <w:lang w:val="da-DK"/>
        </w:rPr>
      </w:pPr>
      <w:r w:rsidRPr="00EE6773">
        <w:rPr>
          <w:iCs/>
          <w:lang w:val="da-DK"/>
        </w:rPr>
        <w:t>SFTI – Sweden</w:t>
      </w:r>
    </w:p>
    <w:p w:rsidR="00AD62F7" w:rsidRPr="00EE6773" w:rsidRDefault="00AD62F7" w:rsidP="00AD62F7">
      <w:pPr>
        <w:pStyle w:val="BodyText"/>
        <w:spacing w:after="120"/>
        <w:rPr>
          <w:iCs/>
          <w:lang w:val="da-DK"/>
        </w:rPr>
      </w:pPr>
      <w:r w:rsidRPr="00EE6773">
        <w:rPr>
          <w:iCs/>
          <w:lang w:val="da-DK"/>
        </w:rPr>
        <w:t>SKI – Denmark</w:t>
      </w:r>
    </w:p>
    <w:p w:rsidR="00AD62F7" w:rsidRPr="00EE6773" w:rsidRDefault="00AD62F7" w:rsidP="00AD62F7">
      <w:pPr>
        <w:pStyle w:val="BodyText"/>
        <w:spacing w:after="120"/>
        <w:rPr>
          <w:iCs/>
          <w:lang w:val="da-DK"/>
        </w:rPr>
      </w:pPr>
      <w:r w:rsidRPr="00EE6773">
        <w:rPr>
          <w:iCs/>
          <w:lang w:val="da-DK"/>
        </w:rPr>
        <w:t>UNISYS – Belgium</w:t>
      </w:r>
    </w:p>
    <w:p w:rsidR="00AD62F7" w:rsidRDefault="00AD62F7" w:rsidP="00AD62F7">
      <w:pPr>
        <w:pStyle w:val="BodyText"/>
      </w:pPr>
      <w:r w:rsidRPr="008F2207">
        <w:rPr>
          <w:iCs/>
        </w:rPr>
        <w:t>University of Koblenz-Landau – Germany</w:t>
      </w:r>
    </w:p>
    <w:p w:rsidR="002C4BBB" w:rsidRDefault="002C4BBB" w:rsidP="0098671B"/>
    <w:p w:rsidR="0098671B" w:rsidRPr="002C4BBB" w:rsidRDefault="0098671B" w:rsidP="002C4BBB">
      <w:pPr>
        <w:rPr>
          <w:rFonts w:cs="Arial"/>
          <w:color w:val="000000"/>
        </w:rPr>
      </w:pPr>
      <w:r>
        <w:t>This CWA contains the main deliverable as well as references to those attachments that together wi</w:t>
      </w:r>
      <w:r w:rsidR="002C4BBB">
        <w:t>th the form the CEN ISSS BII WG2 deliverables. The focus for WG2</w:t>
      </w:r>
      <w:r>
        <w:t xml:space="preserve"> has been to provide support</w:t>
      </w:r>
      <w:r w:rsidR="002C4BBB">
        <w:t xml:space="preserve"> for</w:t>
      </w:r>
      <w:r>
        <w:t xml:space="preserve"> </w:t>
      </w:r>
      <w:r w:rsidR="002C4BBB">
        <w:rPr>
          <w:rFonts w:cs="Arial"/>
          <w:color w:val="000000"/>
        </w:rPr>
        <w:t>UBL-UN/CEFACT convergence process is to ensure that the requirements of the workshop are met by the unified business documents from UN/CEFACT whenever they are ready</w:t>
      </w:r>
    </w:p>
    <w:p w:rsidR="0098671B" w:rsidRDefault="0098671B" w:rsidP="0098671B">
      <w:r>
        <w:t>The CWA and its attachments contain the following main entities:</w:t>
      </w:r>
    </w:p>
    <w:p w:rsidR="000F3655" w:rsidRPr="000F3655" w:rsidRDefault="000F3655" w:rsidP="000F3655">
      <w:pPr>
        <w:numPr>
          <w:ilvl w:val="0"/>
          <w:numId w:val="4"/>
        </w:numPr>
        <w:overflowPunct/>
        <w:spacing w:after="0"/>
        <w:textAlignment w:val="auto"/>
        <w:rPr>
          <w:rFonts w:cs="Arial"/>
          <w:b/>
          <w:sz w:val="22"/>
          <w:szCs w:val="22"/>
          <w:lang w:val="en-US"/>
        </w:rPr>
      </w:pPr>
      <w:r w:rsidRPr="00EE6133">
        <w:rPr>
          <w:rFonts w:cs="Arial"/>
          <w:b/>
          <w:color w:val="000000"/>
        </w:rPr>
        <w:t>BII</w:t>
      </w:r>
      <w:r w:rsidRPr="000F3655">
        <w:rPr>
          <w:rFonts w:cs="Arial"/>
          <w:b/>
          <w:color w:val="000000"/>
        </w:rPr>
        <w:t xml:space="preserve">/CCL mapping: </w:t>
      </w:r>
    </w:p>
    <w:p w:rsidR="000F3655" w:rsidRPr="000F3655" w:rsidRDefault="00E81E8A" w:rsidP="000F3655">
      <w:pPr>
        <w:overflowPunct/>
        <w:spacing w:after="0"/>
        <w:ind w:left="720"/>
        <w:textAlignment w:val="auto"/>
        <w:rPr>
          <w:rFonts w:cs="Arial"/>
          <w:sz w:val="22"/>
          <w:szCs w:val="22"/>
          <w:lang w:val="en-US"/>
        </w:rPr>
      </w:pPr>
      <w:r>
        <w:rPr>
          <w:rFonts w:cs="Arial"/>
          <w:sz w:val="22"/>
          <w:szCs w:val="22"/>
          <w:lang w:val="en-US"/>
        </w:rPr>
        <w:t>GAP analysis describing the differences and mapping</w:t>
      </w:r>
      <w:r w:rsidR="000F3655">
        <w:rPr>
          <w:rFonts w:cs="Arial"/>
          <w:sz w:val="22"/>
          <w:szCs w:val="22"/>
          <w:lang w:val="en-US"/>
        </w:rPr>
        <w:t xml:space="preserve"> </w:t>
      </w:r>
      <w:r w:rsidR="000F3655" w:rsidRPr="000F3655">
        <w:rPr>
          <w:rFonts w:cs="Arial"/>
          <w:sz w:val="22"/>
          <w:szCs w:val="22"/>
          <w:lang w:val="en-US"/>
        </w:rPr>
        <w:t xml:space="preserve">between UN/CEFACT CCL </w:t>
      </w:r>
      <w:r w:rsidR="000F3655">
        <w:rPr>
          <w:rFonts w:cs="Arial"/>
          <w:sz w:val="22"/>
          <w:szCs w:val="22"/>
          <w:lang w:val="en-US"/>
        </w:rPr>
        <w:t>and</w:t>
      </w:r>
      <w:r w:rsidRPr="000F3655">
        <w:rPr>
          <w:rFonts w:cs="Arial"/>
          <w:sz w:val="22"/>
          <w:szCs w:val="22"/>
          <w:lang w:val="en-US"/>
        </w:rPr>
        <w:t xml:space="preserve"> BUY-SHIP-PAY data</w:t>
      </w:r>
      <w:r w:rsidR="000F3655" w:rsidRPr="000F3655">
        <w:rPr>
          <w:rFonts w:cs="Arial"/>
          <w:sz w:val="22"/>
          <w:szCs w:val="22"/>
          <w:lang w:val="en-US"/>
        </w:rPr>
        <w:t xml:space="preserve"> </w:t>
      </w:r>
      <w:r w:rsidRPr="000F3655">
        <w:rPr>
          <w:rFonts w:cs="Arial"/>
          <w:sz w:val="22"/>
          <w:szCs w:val="22"/>
          <w:lang w:val="en-US"/>
        </w:rPr>
        <w:t>model and the Workshop requirements</w:t>
      </w:r>
    </w:p>
    <w:p w:rsidR="000F3655" w:rsidRDefault="000F3655" w:rsidP="000F3655">
      <w:pPr>
        <w:overflowPunct/>
        <w:spacing w:after="0"/>
        <w:textAlignment w:val="auto"/>
        <w:rPr>
          <w:rFonts w:cs="Arial"/>
          <w:sz w:val="22"/>
          <w:szCs w:val="22"/>
          <w:lang w:val="en-US"/>
        </w:rPr>
      </w:pPr>
    </w:p>
    <w:p w:rsidR="0098671B" w:rsidRPr="000F3655" w:rsidRDefault="0098671B" w:rsidP="000F3655">
      <w:pPr>
        <w:overflowPunct/>
        <w:spacing w:after="0"/>
        <w:textAlignment w:val="auto"/>
        <w:rPr>
          <w:rFonts w:cs="Arial"/>
          <w:sz w:val="22"/>
          <w:szCs w:val="22"/>
          <w:lang w:val="en-US"/>
        </w:rPr>
      </w:pPr>
    </w:p>
    <w:p w:rsidR="000F3655" w:rsidRPr="000F3655" w:rsidRDefault="000F3655" w:rsidP="000F3655">
      <w:pPr>
        <w:numPr>
          <w:ilvl w:val="0"/>
          <w:numId w:val="4"/>
        </w:numPr>
        <w:overflowPunct/>
        <w:spacing w:after="0"/>
        <w:textAlignment w:val="auto"/>
        <w:rPr>
          <w:rFonts w:cs="Arial"/>
          <w:b/>
          <w:sz w:val="22"/>
          <w:szCs w:val="22"/>
          <w:lang w:val="en-US"/>
        </w:rPr>
      </w:pPr>
      <w:r w:rsidRPr="000F3655">
        <w:rPr>
          <w:rFonts w:cs="Arial"/>
          <w:b/>
          <w:color w:val="000000"/>
        </w:rPr>
        <w:t>ISO20022 mapping:</w:t>
      </w:r>
    </w:p>
    <w:p w:rsidR="0098671B" w:rsidRDefault="00E81E8A" w:rsidP="000F3655">
      <w:pPr>
        <w:overflowPunct/>
        <w:spacing w:after="0"/>
        <w:ind w:left="720"/>
        <w:textAlignment w:val="auto"/>
        <w:rPr>
          <w:rFonts w:cs="Arial"/>
          <w:sz w:val="22"/>
          <w:szCs w:val="22"/>
          <w:lang w:val="en-US"/>
        </w:rPr>
      </w:pPr>
      <w:r>
        <w:rPr>
          <w:rFonts w:cs="Arial"/>
          <w:sz w:val="22"/>
          <w:szCs w:val="22"/>
          <w:lang w:val="en-US"/>
        </w:rPr>
        <w:t>GAP analysis describing the differences between</w:t>
      </w:r>
      <w:r w:rsidR="000F3655">
        <w:rPr>
          <w:rFonts w:cs="Arial"/>
          <w:sz w:val="22"/>
          <w:szCs w:val="22"/>
          <w:lang w:val="en-US"/>
        </w:rPr>
        <w:t xml:space="preserve"> </w:t>
      </w:r>
      <w:r>
        <w:rPr>
          <w:rFonts w:cs="Arial"/>
          <w:sz w:val="22"/>
          <w:szCs w:val="22"/>
          <w:lang w:val="en-US"/>
        </w:rPr>
        <w:t>ISO20022 Invoice and the requirements identified by the</w:t>
      </w:r>
      <w:r w:rsidR="000F3655">
        <w:rPr>
          <w:rFonts w:cs="Arial"/>
          <w:sz w:val="22"/>
          <w:szCs w:val="22"/>
          <w:lang w:val="en-US"/>
        </w:rPr>
        <w:t xml:space="preserve"> </w:t>
      </w:r>
      <w:r>
        <w:rPr>
          <w:rFonts w:cs="Arial"/>
          <w:sz w:val="22"/>
          <w:szCs w:val="22"/>
          <w:lang w:val="en-US"/>
        </w:rPr>
        <w:t>Workshop.</w:t>
      </w:r>
    </w:p>
    <w:p w:rsidR="000F3655" w:rsidRDefault="000F3655" w:rsidP="000F3655">
      <w:pPr>
        <w:overflowPunct/>
        <w:spacing w:after="0"/>
        <w:ind w:left="720"/>
        <w:textAlignment w:val="auto"/>
      </w:pPr>
    </w:p>
    <w:p w:rsidR="0098671B" w:rsidRPr="00AD62F7" w:rsidRDefault="002A4CE5" w:rsidP="0098671B">
      <w:pPr>
        <w:numPr>
          <w:ilvl w:val="0"/>
          <w:numId w:val="3"/>
        </w:numPr>
        <w:rPr>
          <w:rFonts w:cs="Arial"/>
          <w:sz w:val="22"/>
          <w:szCs w:val="22"/>
          <w:lang w:val="fr-BE"/>
        </w:rPr>
      </w:pPr>
      <w:r w:rsidRPr="00AD62F7">
        <w:rPr>
          <w:rFonts w:cs="Arial"/>
          <w:sz w:val="22"/>
          <w:szCs w:val="22"/>
          <w:lang w:val="fr-BE"/>
        </w:rPr>
        <w:t>BII UBL-UN/CEFACT Convergence WG2 CWA – this document</w:t>
      </w:r>
    </w:p>
    <w:p w:rsidR="0098671B" w:rsidRPr="00AD62F7" w:rsidRDefault="0098671B" w:rsidP="000F3655">
      <w:pPr>
        <w:ind w:left="720"/>
        <w:rPr>
          <w:lang w:val="fr-BE"/>
        </w:rPr>
      </w:pPr>
    </w:p>
    <w:p w:rsidR="00D35F95" w:rsidRPr="00AD62F7" w:rsidRDefault="00D35F95">
      <w:pPr>
        <w:rPr>
          <w:i/>
          <w:color w:val="0000FF"/>
          <w:lang w:val="fr-BE"/>
        </w:rPr>
      </w:pPr>
    </w:p>
    <w:p w:rsidR="00D35F95" w:rsidRDefault="00D35F95">
      <w:pPr>
        <w:pStyle w:val="Heading1"/>
      </w:pPr>
      <w:bookmarkStart w:id="2" w:name="_Toc374930449"/>
      <w:bookmarkStart w:id="3" w:name="_Toc246977595"/>
      <w:r>
        <w:lastRenderedPageBreak/>
        <w:t>1</w:t>
      </w:r>
      <w:r>
        <w:tab/>
        <w:t>Scope</w:t>
      </w:r>
      <w:bookmarkEnd w:id="2"/>
      <w:bookmarkEnd w:id="3"/>
    </w:p>
    <w:p w:rsidR="007624A2" w:rsidRDefault="007624A2"/>
    <w:p w:rsidR="007624A2" w:rsidRDefault="007624A2">
      <w:r>
        <w:t>The present document together with the attachments gives defines result of the convergence between UBL and UN/CEFACT standards in relation to the need and requirements from the workshop.</w:t>
      </w:r>
    </w:p>
    <w:p w:rsidR="007624A2" w:rsidRDefault="007624A2" w:rsidP="007624A2">
      <w:pPr>
        <w:rPr>
          <w:rFonts w:cs="Arial"/>
          <w:color w:val="000000"/>
        </w:rPr>
      </w:pPr>
      <w:r>
        <w:rPr>
          <w:rFonts w:cs="Arial"/>
          <w:color w:val="000000"/>
        </w:rPr>
        <w:t xml:space="preserve">The purpose of the </w:t>
      </w:r>
      <w:r w:rsidR="00425A5F">
        <w:rPr>
          <w:rFonts w:cs="Arial"/>
          <w:color w:val="000000"/>
        </w:rPr>
        <w:t xml:space="preserve">work with </w:t>
      </w:r>
      <w:r>
        <w:rPr>
          <w:rFonts w:cs="Arial"/>
          <w:color w:val="000000"/>
        </w:rPr>
        <w:t xml:space="preserve">UBL-UN/CEFACT convergence process is </w:t>
      </w:r>
      <w:r w:rsidR="00425A5F">
        <w:rPr>
          <w:rFonts w:cs="Arial"/>
          <w:color w:val="000000"/>
        </w:rPr>
        <w:t xml:space="preserve">to ensure that the requirements </w:t>
      </w:r>
      <w:r>
        <w:rPr>
          <w:rFonts w:cs="Arial"/>
          <w:color w:val="000000"/>
        </w:rPr>
        <w:t>of</w:t>
      </w:r>
      <w:r w:rsidR="00425A5F">
        <w:rPr>
          <w:rFonts w:cs="Arial"/>
          <w:color w:val="000000"/>
        </w:rPr>
        <w:t xml:space="preserve"> </w:t>
      </w:r>
      <w:r>
        <w:rPr>
          <w:rFonts w:cs="Arial"/>
          <w:color w:val="000000"/>
        </w:rPr>
        <w:t>the workshop are met by the unified business documents from UN/CEFACT whenever they are</w:t>
      </w:r>
      <w:r w:rsidR="00425A5F">
        <w:rPr>
          <w:rFonts w:cs="Arial"/>
          <w:color w:val="000000"/>
        </w:rPr>
        <w:t xml:space="preserve"> ready. The activities include:</w:t>
      </w:r>
    </w:p>
    <w:p w:rsidR="00425A5F" w:rsidRDefault="00425A5F" w:rsidP="00425A5F">
      <w:pPr>
        <w:numPr>
          <w:ilvl w:val="0"/>
          <w:numId w:val="3"/>
        </w:numPr>
        <w:rPr>
          <w:rFonts w:cs="Arial"/>
          <w:color w:val="000000"/>
        </w:rPr>
      </w:pPr>
      <w:r>
        <w:rPr>
          <w:rFonts w:cs="Arial"/>
          <w:color w:val="000000"/>
        </w:rPr>
        <w:t>GAP analysis and reviews</w:t>
      </w:r>
    </w:p>
    <w:p w:rsidR="00425A5F" w:rsidRDefault="00425A5F" w:rsidP="00425A5F">
      <w:pPr>
        <w:numPr>
          <w:ilvl w:val="0"/>
          <w:numId w:val="3"/>
        </w:numPr>
        <w:rPr>
          <w:rFonts w:cs="Arial"/>
          <w:color w:val="000000"/>
        </w:rPr>
      </w:pPr>
      <w:r>
        <w:rPr>
          <w:rFonts w:cs="Arial"/>
          <w:color w:val="000000"/>
        </w:rPr>
        <w:t>Preparing requirement specifications</w:t>
      </w:r>
    </w:p>
    <w:p w:rsidR="00425A5F" w:rsidRDefault="00425A5F" w:rsidP="00425A5F">
      <w:pPr>
        <w:numPr>
          <w:ilvl w:val="0"/>
          <w:numId w:val="3"/>
        </w:numPr>
        <w:rPr>
          <w:rFonts w:cs="Arial"/>
          <w:color w:val="000000"/>
        </w:rPr>
      </w:pPr>
      <w:r>
        <w:rPr>
          <w:rFonts w:cs="Arial"/>
          <w:color w:val="000000"/>
        </w:rPr>
        <w:t>Defining Change Request</w:t>
      </w:r>
    </w:p>
    <w:p w:rsidR="00425A5F" w:rsidRDefault="00425A5F" w:rsidP="00425A5F">
      <w:pPr>
        <w:numPr>
          <w:ilvl w:val="0"/>
          <w:numId w:val="3"/>
        </w:numPr>
        <w:rPr>
          <w:rFonts w:cs="Arial"/>
          <w:color w:val="000000"/>
        </w:rPr>
      </w:pPr>
      <w:r>
        <w:rPr>
          <w:rFonts w:cs="Arial"/>
          <w:color w:val="000000"/>
        </w:rPr>
        <w:t>Verifying that requirements are fulfilled</w:t>
      </w:r>
    </w:p>
    <w:p w:rsidR="00425A5F" w:rsidRDefault="00425A5F" w:rsidP="007624A2">
      <w:pPr>
        <w:rPr>
          <w:rFonts w:ascii="System" w:hAnsi="System"/>
          <w:b/>
          <w:bCs/>
        </w:rPr>
      </w:pPr>
    </w:p>
    <w:p w:rsidR="007624A2" w:rsidRDefault="00604591" w:rsidP="007624A2">
      <w:pPr>
        <w:rPr>
          <w:rFonts w:cs="Arial"/>
          <w:color w:val="000000"/>
        </w:rPr>
      </w:pPr>
      <w:r w:rsidRPr="00604591">
        <w:rPr>
          <w:rFonts w:ascii="System" w:hAnsi="System"/>
          <w:bCs/>
        </w:rPr>
        <w:t>The</w:t>
      </w:r>
      <w:r w:rsidR="007624A2">
        <w:rPr>
          <w:rFonts w:cs="Arial"/>
          <w:color w:val="000000"/>
        </w:rPr>
        <w:t xml:space="preserve"> purpose of the </w:t>
      </w:r>
      <w:r w:rsidR="00425A5F">
        <w:rPr>
          <w:rFonts w:cs="Arial"/>
          <w:color w:val="000000"/>
        </w:rPr>
        <w:t xml:space="preserve">work in </w:t>
      </w:r>
      <w:r w:rsidR="007624A2">
        <w:rPr>
          <w:rFonts w:cs="Arial"/>
          <w:color w:val="000000"/>
        </w:rPr>
        <w:t>WG2 is to ensure that the requirements of the workshop are met in the unified business documents from UN/CEFACT whenever they are ready. WG2 performs gap analysis, prepares requirement specifications and works together with other workshop groups and external groups (like TBG1 from UN/CEFACT). The results from the group will be used in the convergence work between the business requirements from UN/CEFACT and the requirements from the workshop.</w:t>
      </w:r>
    </w:p>
    <w:p w:rsidR="00604591" w:rsidRDefault="00604591" w:rsidP="007624A2">
      <w:pPr>
        <w:rPr>
          <w:rFonts w:cs="Arial"/>
          <w:color w:val="000000"/>
        </w:rPr>
      </w:pPr>
    </w:p>
    <w:p w:rsidR="007624A2" w:rsidRDefault="00604591" w:rsidP="007624A2">
      <w:pPr>
        <w:rPr>
          <w:rFonts w:cs="Arial"/>
          <w:color w:val="000000"/>
        </w:rPr>
      </w:pPr>
      <w:r>
        <w:rPr>
          <w:rFonts w:cs="Arial"/>
          <w:color w:val="000000"/>
        </w:rPr>
        <w:t>This includes a</w:t>
      </w:r>
      <w:r w:rsidR="007624A2">
        <w:rPr>
          <w:rFonts w:cs="Arial"/>
          <w:color w:val="000000"/>
        </w:rPr>
        <w:t>ttendance to the TBG1 f2f-meetings and all UN/CEFACT Forum meetings since Vancouver</w:t>
      </w:r>
      <w:r>
        <w:rPr>
          <w:rFonts w:cs="Arial"/>
          <w:color w:val="000000"/>
        </w:rPr>
        <w:t xml:space="preserve"> Forum in 2006</w:t>
      </w:r>
    </w:p>
    <w:p w:rsidR="007624A2" w:rsidRDefault="007624A2"/>
    <w:p w:rsidR="00D35F95" w:rsidRDefault="00D35F95">
      <w:pPr>
        <w:pStyle w:val="Heading1"/>
      </w:pPr>
      <w:bookmarkStart w:id="4" w:name="_Toc374930450"/>
      <w:bookmarkStart w:id="5" w:name="_Toc246977596"/>
      <w:r>
        <w:lastRenderedPageBreak/>
        <w:t>2</w:t>
      </w:r>
      <w:r>
        <w:tab/>
        <w:t>Normative References</w:t>
      </w:r>
      <w:bookmarkEnd w:id="4"/>
      <w:bookmarkEnd w:id="5"/>
    </w:p>
    <w:p w:rsidR="007D3E0E" w:rsidRDefault="007D3E0E" w:rsidP="007D3E0E">
      <w:bookmarkStart w:id="6" w:name="_Toc345380207"/>
      <w:bookmarkStart w:id="7" w:name="_Toc345380386"/>
      <w:bookmarkStart w:id="8" w:name="_Toc345380471"/>
      <w:bookmarkStart w:id="9" w:name="_Toc345380556"/>
      <w:bookmarkStart w:id="10" w:name="_Toc345380641"/>
      <w:bookmarkStart w:id="11" w:name="_Toc345381581"/>
      <w:bookmarkStart w:id="12" w:name="_Toc345381745"/>
      <w:bookmarkStart w:id="13" w:name="_Toc345381882"/>
      <w:bookmarkStart w:id="14" w:name="_Toc345382327"/>
      <w:bookmarkStart w:id="15" w:name="_Toc345382412"/>
      <w:bookmarkStart w:id="16" w:name="_Toc345382518"/>
      <w:bookmarkStart w:id="17" w:name="_Toc345382679"/>
      <w:bookmarkStart w:id="18" w:name="_Toc345382764"/>
      <w:bookmarkStart w:id="19" w:name="_Toc345383038"/>
      <w:bookmarkStart w:id="20" w:name="_Toc345383210"/>
      <w:bookmarkStart w:id="21" w:name="_Toc345383881"/>
      <w:bookmarkStart w:id="22" w:name="_Toc345384166"/>
      <w:bookmarkStart w:id="23" w:name="_Toc345384747"/>
      <w:bookmarkStart w:id="24" w:name="_Toc345384951"/>
      <w:bookmarkStart w:id="25" w:name="_Toc345386032"/>
      <w:bookmarkStart w:id="26" w:name="_Toc345405368"/>
      <w:bookmarkStart w:id="27" w:name="_Toc345405529"/>
      <w:bookmarkStart w:id="28" w:name="_Toc345405614"/>
      <w:bookmarkStart w:id="29" w:name="_Toc345405699"/>
      <w:bookmarkStart w:id="30" w:name="_Toc345405784"/>
      <w:bookmarkStart w:id="31" w:name="_Toc345406134"/>
      <w:bookmarkStart w:id="32" w:name="_Toc345406482"/>
      <w:bookmarkStart w:id="33" w:name="_Toc345406567"/>
      <w:bookmarkStart w:id="34" w:name="_Toc345406652"/>
      <w:bookmarkStart w:id="35" w:name="_Toc345406737"/>
      <w:bookmarkStart w:id="36" w:name="_Toc345407059"/>
      <w:bookmarkStart w:id="37" w:name="_Toc345409493"/>
      <w:bookmarkStart w:id="38" w:name="_Toc345409603"/>
      <w:bookmarkStart w:id="39" w:name="_Toc345409688"/>
      <w:bookmarkStart w:id="40" w:name="_Toc345410484"/>
      <w:bookmarkStart w:id="41" w:name="_Toc345410569"/>
      <w:bookmarkStart w:id="42" w:name="_Toc345735801"/>
      <w:bookmarkStart w:id="43" w:name="_Toc345736120"/>
      <w:bookmarkStart w:id="44" w:name="_Toc345736205"/>
      <w:bookmarkStart w:id="45" w:name="_Toc351282503"/>
      <w:bookmarkStart w:id="46" w:name="_Toc374930453"/>
      <w:r>
        <w:t>The following normative documents contain provisions that, through reference in this text, constitute provisions of this CWA. For dated references, subsequent amendments to, or revisions of, any of these publications do not apply. However, parties to agreements based on this CWA are encouraged to investigate the possibility of applying the most recent editions of the normative documents indicated below. For undated references, the latest edition of the normative document referred to applies.</w:t>
      </w:r>
    </w:p>
    <w:p w:rsidR="007D3E0E" w:rsidRDefault="007D3E0E"/>
    <w:p w:rsidR="007D3E0E" w:rsidRDefault="007D3E0E" w:rsidP="007D3E0E">
      <w:pPr>
        <w:pStyle w:val="Heading2"/>
      </w:pPr>
      <w:bookmarkStart w:id="47" w:name="_Toc246977597"/>
      <w:r>
        <w:t>2.1</w:t>
      </w:r>
      <w:r>
        <w:tab/>
        <w:t>Technical references</w:t>
      </w:r>
      <w:bookmarkEnd w:id="47"/>
    </w:p>
    <w:p w:rsidR="007D3E0E" w:rsidRDefault="00DD3CFD" w:rsidP="007D3E0E">
      <w:pPr>
        <w:pStyle w:val="BodyText"/>
        <w:numPr>
          <w:ilvl w:val="0"/>
          <w:numId w:val="5"/>
        </w:numPr>
        <w:rPr>
          <w:rStyle w:val="Bullets"/>
        </w:rPr>
      </w:pPr>
      <w:hyperlink r:id="rId11" w:history="1">
        <w:r w:rsidR="007D3E0E" w:rsidRPr="003311A5">
          <w:rPr>
            <w:rStyle w:val="Hyperlink"/>
            <w:rFonts w:eastAsia="StarSymbol" w:cs="StarSymbol"/>
            <w:szCs w:val="18"/>
          </w:rPr>
          <w:t>Universal Business Language (UBL) v2.0</w:t>
        </w:r>
      </w:hyperlink>
      <w:r w:rsidR="007D3E0E">
        <w:rPr>
          <w:rStyle w:val="Bullets"/>
        </w:rPr>
        <w:t xml:space="preserve"> </w:t>
      </w:r>
      <w:r w:rsidR="007D3E0E" w:rsidRPr="007D653A">
        <w:rPr>
          <w:lang w:val="en-AU"/>
        </w:rPr>
        <w:t>OASIS Standard December 2006</w:t>
      </w:r>
    </w:p>
    <w:p w:rsidR="00F96511" w:rsidRPr="00F96511" w:rsidRDefault="00F96511" w:rsidP="00F96511">
      <w:pPr>
        <w:pStyle w:val="BodyText"/>
        <w:ind w:left="720"/>
        <w:rPr>
          <w:rFonts w:ascii="Verdana" w:eastAsia="StarSymbol" w:hAnsi="Verdana" w:cs="StarSymbol"/>
          <w:szCs w:val="18"/>
        </w:rPr>
      </w:pPr>
    </w:p>
    <w:p w:rsidR="00F96511" w:rsidRPr="00F96511" w:rsidRDefault="00DD3CFD" w:rsidP="00F96511">
      <w:pPr>
        <w:numPr>
          <w:ilvl w:val="0"/>
          <w:numId w:val="5"/>
        </w:numPr>
        <w:rPr>
          <w:rFonts w:cs="Arial"/>
          <w:bCs/>
        </w:rPr>
      </w:pPr>
      <w:hyperlink r:id="rId12" w:history="1">
        <w:r w:rsidR="007D3E0E" w:rsidRPr="007D3E0E">
          <w:rPr>
            <w:rStyle w:val="Hyperlink"/>
            <w:rFonts w:cs="Arial"/>
            <w:bCs/>
          </w:rPr>
          <w:t>ISO 20022 Universal financial industry message scheme</w:t>
        </w:r>
      </w:hyperlink>
    </w:p>
    <w:p w:rsidR="007D3E0E" w:rsidRPr="007D3E0E" w:rsidRDefault="00DD3CFD" w:rsidP="007D3E0E">
      <w:pPr>
        <w:numPr>
          <w:ilvl w:val="0"/>
          <w:numId w:val="5"/>
        </w:numPr>
        <w:rPr>
          <w:rFonts w:cs="Arial"/>
          <w:b/>
          <w:bCs/>
        </w:rPr>
      </w:pPr>
      <w:hyperlink r:id="rId13" w:history="1">
        <w:r w:rsidR="007D3E0E" w:rsidRPr="007D3E0E">
          <w:rPr>
            <w:rStyle w:val="Hyperlink"/>
            <w:rFonts w:cs="Arial"/>
          </w:rPr>
          <w:t>UN/CEFACT CCL version 08B</w:t>
        </w:r>
      </w:hyperlink>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D35F95" w:rsidRDefault="00D35F95">
      <w:pPr>
        <w:keepNext/>
      </w:pPr>
    </w:p>
    <w:p w:rsidR="00D35F95" w:rsidRPr="00AD62F7" w:rsidRDefault="002A4CE5">
      <w:pPr>
        <w:pStyle w:val="Heading1"/>
        <w:rPr>
          <w:lang w:val="fr-BE"/>
        </w:rPr>
      </w:pPr>
      <w:bookmarkStart w:id="48" w:name="_Toc246977598"/>
      <w:r w:rsidRPr="00AD62F7">
        <w:rPr>
          <w:lang w:val="fr-BE"/>
        </w:rPr>
        <w:lastRenderedPageBreak/>
        <w:t>4</w:t>
      </w:r>
      <w:r w:rsidRPr="00AD62F7">
        <w:rPr>
          <w:lang w:val="fr-BE"/>
        </w:rPr>
        <w:tab/>
        <w:t>BII UBL-UN/CEFACT Convergence WG2</w:t>
      </w:r>
      <w:bookmarkEnd w:id="48"/>
    </w:p>
    <w:p w:rsidR="00D35F95" w:rsidRDefault="00D35F95">
      <w:pPr>
        <w:pStyle w:val="Heading2"/>
      </w:pPr>
      <w:bookmarkStart w:id="49" w:name="_Toc246977599"/>
      <w:r>
        <w:t>4.1</w:t>
      </w:r>
      <w:r w:rsidR="002A4CE5">
        <w:tab/>
        <w:t>Introduction</w:t>
      </w:r>
      <w:bookmarkEnd w:id="49"/>
    </w:p>
    <w:p w:rsidR="00DF75A2" w:rsidRDefault="00D35F95">
      <w:r>
        <w:t xml:space="preserve">The </w:t>
      </w:r>
      <w:r w:rsidR="002A4CE5">
        <w:t xml:space="preserve">GAP analysis </w:t>
      </w:r>
      <w:r w:rsidR="00EE6133">
        <w:t xml:space="preserve">delivered are based on </w:t>
      </w:r>
      <w:r w:rsidR="00DF75A2">
        <w:t>UN/CEFACT CCL 08B and ISO 20022 standard.</w:t>
      </w:r>
    </w:p>
    <w:p w:rsidR="00DF75A2" w:rsidRDefault="00DF75A2" w:rsidP="00DF75A2">
      <w:pPr>
        <w:rPr>
          <w:rFonts w:cs="Arial"/>
          <w:color w:val="000000"/>
        </w:rPr>
      </w:pPr>
    </w:p>
    <w:p w:rsidR="00DF75A2" w:rsidRPr="00DF75A2" w:rsidRDefault="00DF75A2" w:rsidP="00DF75A2">
      <w:pPr>
        <w:rPr>
          <w:rFonts w:cs="Arial"/>
          <w:b/>
          <w:color w:val="000000"/>
        </w:rPr>
      </w:pPr>
      <w:r w:rsidRPr="00DF75A2">
        <w:rPr>
          <w:rFonts w:cs="Arial"/>
          <w:b/>
          <w:color w:val="000000"/>
        </w:rPr>
        <w:t>Clarification regarding the description of the deliverable "BSP-gap"</w:t>
      </w:r>
    </w:p>
    <w:p w:rsidR="00DF75A2" w:rsidRDefault="00DF75A2" w:rsidP="00DF75A2">
      <w:pPr>
        <w:rPr>
          <w:rFonts w:cs="Arial"/>
          <w:color w:val="000000"/>
        </w:rPr>
      </w:pPr>
      <w:r>
        <w:rPr>
          <w:rFonts w:cs="Arial"/>
          <w:color w:val="000000"/>
        </w:rPr>
        <w:t xml:space="preserve">The </w:t>
      </w:r>
      <w:r w:rsidR="004131B5">
        <w:rPr>
          <w:rFonts w:cs="Arial"/>
          <w:color w:val="000000"/>
        </w:rPr>
        <w:t>data model</w:t>
      </w:r>
      <w:r>
        <w:rPr>
          <w:rFonts w:cs="Arial"/>
          <w:color w:val="000000"/>
        </w:rPr>
        <w:t xml:space="preserve"> that was previously called BSP is in the CCL08B included in the UN/CEFACT Reference Component Library containing all parts of the CCL, including the UN/CEFACT Message Components Library, as harmonised by the International Trade and Business Processes Group (TBG). The GAP-analysis between the BII requirements and UN/CEFACT business information entities are based on this set of components previously named Buy-Ship-</w:t>
      </w:r>
      <w:r w:rsidR="004131B5">
        <w:rPr>
          <w:rFonts w:cs="Arial"/>
          <w:color w:val="000000"/>
        </w:rPr>
        <w:t>Pay. The</w:t>
      </w:r>
      <w:r>
        <w:rPr>
          <w:rFonts w:cs="Arial"/>
          <w:color w:val="000000"/>
        </w:rPr>
        <w:t xml:space="preserve"> change of naming was decided after WG2 defined the deliverables.</w:t>
      </w:r>
    </w:p>
    <w:p w:rsidR="00DF75A2" w:rsidRDefault="00DF75A2" w:rsidP="00DF75A2">
      <w:pPr>
        <w:rPr>
          <w:rFonts w:cs="Arial"/>
          <w:color w:val="000000"/>
        </w:rPr>
      </w:pPr>
      <w:r>
        <w:rPr>
          <w:rFonts w:cs="Arial"/>
          <w:color w:val="000000"/>
        </w:rPr>
        <w:t xml:space="preserve">The business information entities used in the Cross Industry Invoice are all present in the reference model even though they are slightly differently named. To have a more </w:t>
      </w:r>
      <w:r w:rsidR="004131B5">
        <w:rPr>
          <w:rFonts w:cs="Arial"/>
          <w:color w:val="000000"/>
        </w:rPr>
        <w:t>accurate</w:t>
      </w:r>
      <w:r>
        <w:rPr>
          <w:rFonts w:cs="Arial"/>
          <w:color w:val="000000"/>
        </w:rPr>
        <w:t xml:space="preserve"> mapping will require WG2 to use CCL09A or CCL09B but none of those were harmonized or audited at the time the gap analysis took place.</w:t>
      </w:r>
    </w:p>
    <w:p w:rsidR="00DF75A2" w:rsidRDefault="00DF75A2">
      <w:pPr>
        <w:rPr>
          <w:rFonts w:cs="Arial"/>
          <w:color w:val="000000"/>
        </w:rPr>
      </w:pPr>
    </w:p>
    <w:p w:rsidR="00DF75A2" w:rsidRPr="00DF75A2" w:rsidRDefault="00DF75A2">
      <w:pPr>
        <w:rPr>
          <w:b/>
        </w:rPr>
      </w:pPr>
      <w:r w:rsidRPr="00DF75A2">
        <w:rPr>
          <w:rFonts w:cs="Arial"/>
          <w:b/>
          <w:color w:val="000000"/>
        </w:rPr>
        <w:t>ISO20022 requirements</w:t>
      </w:r>
    </w:p>
    <w:p w:rsidR="00DF75A2" w:rsidRDefault="00DF75A2">
      <w:r>
        <w:rPr>
          <w:rFonts w:cs="Arial"/>
          <w:color w:val="000000"/>
        </w:rPr>
        <w:t>Information entities needed to perform a ISO20022 and SEPA compliant payment.</w:t>
      </w:r>
    </w:p>
    <w:p w:rsidR="00DF75A2" w:rsidRDefault="00DF75A2"/>
    <w:p w:rsidR="00DF75A2" w:rsidRDefault="00DF75A2" w:rsidP="00DF75A2">
      <w:pPr>
        <w:pStyle w:val="Heading2"/>
      </w:pPr>
      <w:bookmarkStart w:id="50" w:name="_Toc246977600"/>
      <w:r>
        <w:t>4.2</w:t>
      </w:r>
      <w:r>
        <w:tab/>
        <w:t>Observations form GAP Analysis</w:t>
      </w:r>
      <w:bookmarkEnd w:id="50"/>
    </w:p>
    <w:p w:rsidR="00DF75A2" w:rsidRDefault="00DF75A2"/>
    <w:p w:rsidR="00DF75A2" w:rsidRPr="00DF75A2" w:rsidRDefault="00A852DF" w:rsidP="00A852DF">
      <w:pPr>
        <w:pStyle w:val="Heading3"/>
      </w:pPr>
      <w:bookmarkStart w:id="51" w:name="_Toc246977601"/>
      <w:r>
        <w:rPr>
          <w:bCs/>
          <w:color w:val="323232"/>
          <w:sz w:val="24"/>
          <w:szCs w:val="24"/>
        </w:rPr>
        <w:t>4.2.1</w:t>
      </w:r>
      <w:r>
        <w:rPr>
          <w:bCs/>
          <w:color w:val="323232"/>
          <w:sz w:val="24"/>
          <w:szCs w:val="24"/>
        </w:rPr>
        <w:tab/>
      </w:r>
      <w:r w:rsidR="00DF75A2" w:rsidRPr="00DF75A2">
        <w:rPr>
          <w:bCs/>
          <w:color w:val="323232"/>
          <w:sz w:val="24"/>
          <w:szCs w:val="24"/>
        </w:rPr>
        <w:t>Pu</w:t>
      </w:r>
      <w:r w:rsidR="00DF75A2" w:rsidRPr="00DF75A2">
        <w:t>rpose with gap-analysis</w:t>
      </w:r>
      <w:bookmarkEnd w:id="51"/>
    </w:p>
    <w:p w:rsidR="00DF75A2" w:rsidRDefault="00A852DF" w:rsidP="00DF75A2">
      <w:pPr>
        <w:rPr>
          <w:rFonts w:cs="Arial"/>
          <w:color w:val="000000"/>
        </w:rPr>
      </w:pPr>
      <w:r>
        <w:rPr>
          <w:rFonts w:cs="Arial"/>
          <w:color w:val="000000"/>
        </w:rPr>
        <w:t>The use of GAP Analysis in this context is as a</w:t>
      </w:r>
      <w:r w:rsidR="00DF75A2">
        <w:rPr>
          <w:rFonts w:cs="Arial"/>
          <w:color w:val="000000"/>
        </w:rPr>
        <w:t xml:space="preserve"> tool to validate the degree of requirement </w:t>
      </w:r>
      <w:r>
        <w:rPr>
          <w:rFonts w:cs="Arial"/>
          <w:color w:val="000000"/>
        </w:rPr>
        <w:t>fulfilment</w:t>
      </w:r>
    </w:p>
    <w:p w:rsidR="00A852DF" w:rsidRDefault="00A852DF" w:rsidP="00DF75A2">
      <w:pPr>
        <w:rPr>
          <w:rFonts w:cs="Arial"/>
          <w:color w:val="000000"/>
        </w:rPr>
      </w:pPr>
      <w:r>
        <w:rPr>
          <w:rFonts w:cs="Arial"/>
          <w:color w:val="000000"/>
        </w:rPr>
        <w:t>Guidance</w:t>
      </w:r>
      <w:r w:rsidR="00DF75A2">
        <w:rPr>
          <w:rFonts w:cs="Arial"/>
          <w:color w:val="000000"/>
        </w:rPr>
        <w:t xml:space="preserve"> to syntax mapping against UN/CEFACT standards</w:t>
      </w:r>
    </w:p>
    <w:p w:rsidR="00DF75A2" w:rsidRDefault="00DF75A2" w:rsidP="00DF75A2">
      <w:pPr>
        <w:rPr>
          <w:rFonts w:cs="Arial"/>
          <w:color w:val="000000"/>
        </w:rPr>
      </w:pPr>
      <w:r>
        <w:rPr>
          <w:rFonts w:cs="Arial"/>
          <w:color w:val="000000"/>
        </w:rPr>
        <w:t>Support document for the continued efforts to have all BII requirements met by UN/CEFACT</w:t>
      </w:r>
    </w:p>
    <w:p w:rsidR="00DF75A2" w:rsidRDefault="00DF75A2">
      <w:pPr>
        <w:rPr>
          <w:rFonts w:cs="Arial"/>
          <w:color w:val="000000"/>
        </w:rPr>
      </w:pPr>
    </w:p>
    <w:p w:rsidR="00DF75A2" w:rsidRDefault="00DF75A2">
      <w:pPr>
        <w:rPr>
          <w:rFonts w:cs="Arial"/>
          <w:color w:val="000000"/>
        </w:rPr>
      </w:pPr>
    </w:p>
    <w:p w:rsidR="00DF75A2" w:rsidRDefault="00A852DF" w:rsidP="00A852DF">
      <w:pPr>
        <w:pStyle w:val="Heading3"/>
      </w:pPr>
      <w:bookmarkStart w:id="52" w:name="_Toc246977602"/>
      <w:r>
        <w:t>4.2.2</w:t>
      </w:r>
      <w:r>
        <w:tab/>
      </w:r>
      <w:r w:rsidR="00DF75A2" w:rsidRPr="00DF75A2">
        <w:t>Types of gaps</w:t>
      </w:r>
      <w:bookmarkEnd w:id="52"/>
    </w:p>
    <w:p w:rsidR="00A852DF" w:rsidRPr="00A852DF" w:rsidRDefault="00A852DF" w:rsidP="00A852DF"/>
    <w:p w:rsidR="00DF75A2" w:rsidRPr="00A852DF" w:rsidRDefault="00A852DF">
      <w:pPr>
        <w:rPr>
          <w:rFonts w:cs="Arial"/>
          <w:b/>
          <w:color w:val="000000"/>
        </w:rPr>
      </w:pPr>
      <w:r w:rsidRPr="00A852DF">
        <w:rPr>
          <w:rFonts w:cs="Arial"/>
          <w:b/>
          <w:color w:val="000000"/>
        </w:rPr>
        <w:t>Gaps in CCL Core components</w:t>
      </w:r>
    </w:p>
    <w:p w:rsidR="00A852DF" w:rsidRDefault="00A852DF" w:rsidP="00A852DF">
      <w:pPr>
        <w:rPr>
          <w:rFonts w:cs="Arial"/>
          <w:color w:val="000000"/>
        </w:rPr>
      </w:pPr>
      <w:r>
        <w:rPr>
          <w:rFonts w:cs="Arial"/>
          <w:color w:val="000000"/>
        </w:rPr>
        <w:t>A core component (ACC, BCC or ASCC) gap means that the information</w:t>
      </w:r>
      <w:r w:rsidR="007B0822">
        <w:rPr>
          <w:rFonts w:cs="Arial"/>
          <w:color w:val="000000"/>
        </w:rPr>
        <w:t xml:space="preserve"> entity is not only missing in</w:t>
      </w:r>
      <w:r>
        <w:rPr>
          <w:rFonts w:cs="Arial"/>
          <w:color w:val="000000"/>
        </w:rPr>
        <w:t xml:space="preserve"> the contextualized component but also in the actual core component. The report</w:t>
      </w:r>
      <w:r w:rsidR="00EE6133">
        <w:rPr>
          <w:rFonts w:cs="Arial"/>
          <w:color w:val="000000"/>
        </w:rPr>
        <w:t xml:space="preserve"> point out where these gaps are </w:t>
      </w:r>
      <w:r>
        <w:rPr>
          <w:rFonts w:cs="Arial"/>
          <w:color w:val="000000"/>
        </w:rPr>
        <w:t>but</w:t>
      </w:r>
      <w:r w:rsidR="00EE6133">
        <w:rPr>
          <w:rFonts w:cs="Arial"/>
          <w:color w:val="000000"/>
        </w:rPr>
        <w:t xml:space="preserve"> it</w:t>
      </w:r>
      <w:r>
        <w:rPr>
          <w:rFonts w:cs="Arial"/>
          <w:color w:val="000000"/>
        </w:rPr>
        <w:t xml:space="preserve"> does</w:t>
      </w:r>
      <w:r w:rsidR="00EE6133">
        <w:rPr>
          <w:rFonts w:cs="Arial"/>
          <w:color w:val="000000"/>
        </w:rPr>
        <w:t xml:space="preserve"> no</w:t>
      </w:r>
      <w:r>
        <w:rPr>
          <w:rFonts w:cs="Arial"/>
          <w:color w:val="000000"/>
        </w:rPr>
        <w:t>t stipulate any given modelling solution. It is expected that many of the identified gaps will be solved by the ongoing convergence work, especially since the components related to ordering, catalogue, despatch advice are not yet part of the CC-library.</w:t>
      </w:r>
    </w:p>
    <w:p w:rsidR="00DF75A2" w:rsidRDefault="00DF75A2">
      <w:pPr>
        <w:rPr>
          <w:rFonts w:cs="Arial"/>
          <w:color w:val="000000"/>
        </w:rPr>
      </w:pPr>
    </w:p>
    <w:p w:rsidR="00A852DF" w:rsidRDefault="00A852DF">
      <w:pPr>
        <w:rPr>
          <w:rFonts w:cs="Arial"/>
          <w:b/>
          <w:color w:val="000000"/>
        </w:rPr>
      </w:pPr>
      <w:r w:rsidRPr="00A852DF">
        <w:rPr>
          <w:rFonts w:cs="Arial"/>
          <w:b/>
          <w:color w:val="000000"/>
        </w:rPr>
        <w:t>Gaps in CCL Reference library</w:t>
      </w:r>
    </w:p>
    <w:p w:rsidR="00A852DF" w:rsidRPr="00A852DF" w:rsidRDefault="00EE6133">
      <w:pPr>
        <w:rPr>
          <w:rFonts w:cs="Arial"/>
          <w:color w:val="000000"/>
        </w:rPr>
      </w:pPr>
      <w:r>
        <w:rPr>
          <w:rFonts w:cs="Arial"/>
          <w:color w:val="000000"/>
        </w:rPr>
        <w:t>Similarly</w:t>
      </w:r>
      <w:r w:rsidR="00A852DF">
        <w:rPr>
          <w:rFonts w:cs="Arial"/>
          <w:color w:val="000000"/>
        </w:rPr>
        <w:t xml:space="preserve"> to the CC-gaps, the BIE-gaps sometimes indicate a situation that needs to be addressed, but some will be solved by the inclusion of more TBG1-developed messages.</w:t>
      </w:r>
    </w:p>
    <w:p w:rsidR="00A852DF" w:rsidRDefault="00A852DF">
      <w:pPr>
        <w:rPr>
          <w:rFonts w:cs="Arial"/>
          <w:b/>
          <w:color w:val="000000"/>
        </w:rPr>
      </w:pPr>
    </w:p>
    <w:p w:rsidR="00A852DF" w:rsidRDefault="00A852DF">
      <w:pPr>
        <w:rPr>
          <w:rFonts w:cs="Arial"/>
          <w:b/>
          <w:color w:val="000000"/>
        </w:rPr>
      </w:pPr>
      <w:r w:rsidRPr="00A852DF">
        <w:rPr>
          <w:rFonts w:cs="Arial"/>
          <w:b/>
          <w:color w:val="000000"/>
        </w:rPr>
        <w:t>Gaps in CCL/Reference library compared to BII Core documents</w:t>
      </w:r>
    </w:p>
    <w:p w:rsidR="00A852DF" w:rsidRDefault="00A852DF" w:rsidP="00A852DF">
      <w:pPr>
        <w:rPr>
          <w:rFonts w:cs="Arial"/>
          <w:color w:val="000000"/>
        </w:rPr>
      </w:pPr>
      <w:r>
        <w:rPr>
          <w:rFonts w:cs="Arial"/>
          <w:color w:val="000000"/>
        </w:rPr>
        <w:t>Core Invoice Document Information entities missing from in the Reference Library in CCL08B</w:t>
      </w:r>
      <w:r w:rsidR="00157BFC">
        <w:rPr>
          <w:rFonts w:cs="Arial"/>
          <w:color w:val="000000"/>
        </w:rPr>
        <w:t>:</w:t>
      </w:r>
    </w:p>
    <w:p w:rsidR="00A852DF" w:rsidRDefault="00A852DF" w:rsidP="00157BFC">
      <w:pPr>
        <w:numPr>
          <w:ilvl w:val="0"/>
          <w:numId w:val="6"/>
        </w:numPr>
        <w:rPr>
          <w:rFonts w:cs="Arial"/>
          <w:color w:val="000000"/>
        </w:rPr>
      </w:pPr>
      <w:r>
        <w:rPr>
          <w:rFonts w:cs="Arial"/>
          <w:color w:val="000000"/>
        </w:rPr>
        <w:t>Referenced Document Type Text</w:t>
      </w:r>
    </w:p>
    <w:p w:rsidR="00A852DF" w:rsidRDefault="00A852DF" w:rsidP="00157BFC">
      <w:pPr>
        <w:numPr>
          <w:ilvl w:val="0"/>
          <w:numId w:val="6"/>
        </w:numPr>
        <w:rPr>
          <w:rFonts w:cs="Arial"/>
          <w:color w:val="000000"/>
        </w:rPr>
      </w:pPr>
      <w:r>
        <w:rPr>
          <w:rFonts w:cs="Arial"/>
          <w:color w:val="000000"/>
        </w:rPr>
        <w:t>Address</w:t>
      </w:r>
    </w:p>
    <w:p w:rsidR="00A852DF" w:rsidRDefault="00EE6133" w:rsidP="00157BFC">
      <w:pPr>
        <w:numPr>
          <w:ilvl w:val="1"/>
          <w:numId w:val="7"/>
        </w:numPr>
        <w:rPr>
          <w:rFonts w:cs="Arial"/>
          <w:color w:val="000000"/>
        </w:rPr>
      </w:pPr>
      <w:r>
        <w:rPr>
          <w:rFonts w:cs="Arial"/>
          <w:color w:val="000000"/>
        </w:rPr>
        <w:t>Additional Street N</w:t>
      </w:r>
      <w:r w:rsidR="00A852DF">
        <w:rPr>
          <w:rFonts w:cs="Arial"/>
          <w:color w:val="000000"/>
        </w:rPr>
        <w:t>ame</w:t>
      </w:r>
    </w:p>
    <w:p w:rsidR="00A852DF" w:rsidRDefault="00793669" w:rsidP="00157BFC">
      <w:pPr>
        <w:numPr>
          <w:ilvl w:val="1"/>
          <w:numId w:val="7"/>
        </w:numPr>
        <w:rPr>
          <w:rFonts w:cs="Arial"/>
          <w:color w:val="000000"/>
        </w:rPr>
      </w:pPr>
      <w:r>
        <w:rPr>
          <w:rFonts w:cs="Arial"/>
          <w:color w:val="000000"/>
        </w:rPr>
        <w:t>Department</w:t>
      </w:r>
    </w:p>
    <w:p w:rsidR="00793669" w:rsidRDefault="00793669" w:rsidP="00793669">
      <w:pPr>
        <w:numPr>
          <w:ilvl w:val="0"/>
          <w:numId w:val="6"/>
        </w:numPr>
        <w:rPr>
          <w:rFonts w:cs="Arial"/>
          <w:color w:val="000000"/>
        </w:rPr>
      </w:pPr>
      <w:r>
        <w:rPr>
          <w:rFonts w:cs="Arial"/>
          <w:color w:val="000000"/>
        </w:rPr>
        <w:t>Contact</w:t>
      </w:r>
    </w:p>
    <w:p w:rsidR="00793669" w:rsidRDefault="00793669" w:rsidP="00793669">
      <w:pPr>
        <w:numPr>
          <w:ilvl w:val="1"/>
          <w:numId w:val="7"/>
        </w:numPr>
        <w:rPr>
          <w:rFonts w:cs="Arial"/>
          <w:color w:val="000000"/>
        </w:rPr>
      </w:pPr>
      <w:r>
        <w:rPr>
          <w:rFonts w:cs="Arial"/>
          <w:color w:val="000000"/>
        </w:rPr>
        <w:t>First</w:t>
      </w:r>
      <w:r w:rsidR="00EE6133">
        <w:rPr>
          <w:rFonts w:cs="Arial"/>
          <w:color w:val="000000"/>
        </w:rPr>
        <w:t xml:space="preserve"> </w:t>
      </w:r>
      <w:r>
        <w:rPr>
          <w:rFonts w:cs="Arial"/>
          <w:color w:val="000000"/>
        </w:rPr>
        <w:t>Name</w:t>
      </w:r>
    </w:p>
    <w:p w:rsidR="00793669" w:rsidRDefault="00793669" w:rsidP="00793669">
      <w:pPr>
        <w:numPr>
          <w:ilvl w:val="1"/>
          <w:numId w:val="7"/>
        </w:numPr>
        <w:rPr>
          <w:rFonts w:cs="Arial"/>
          <w:color w:val="000000"/>
        </w:rPr>
      </w:pPr>
      <w:r>
        <w:rPr>
          <w:rFonts w:cs="Arial"/>
          <w:color w:val="000000"/>
        </w:rPr>
        <w:t>Middle</w:t>
      </w:r>
      <w:r w:rsidR="00EE6133">
        <w:rPr>
          <w:rFonts w:cs="Arial"/>
          <w:color w:val="000000"/>
        </w:rPr>
        <w:t xml:space="preserve"> </w:t>
      </w:r>
      <w:r>
        <w:rPr>
          <w:rFonts w:cs="Arial"/>
          <w:color w:val="000000"/>
        </w:rPr>
        <w:t>Name</w:t>
      </w:r>
    </w:p>
    <w:p w:rsidR="00793669" w:rsidRDefault="00793669" w:rsidP="00793669">
      <w:pPr>
        <w:numPr>
          <w:ilvl w:val="1"/>
          <w:numId w:val="7"/>
        </w:numPr>
        <w:rPr>
          <w:rFonts w:cs="Arial"/>
          <w:color w:val="000000"/>
        </w:rPr>
      </w:pPr>
      <w:r>
        <w:rPr>
          <w:rFonts w:cs="Arial"/>
          <w:color w:val="000000"/>
        </w:rPr>
        <w:t>Family</w:t>
      </w:r>
      <w:r w:rsidR="00EE6133">
        <w:rPr>
          <w:rFonts w:cs="Arial"/>
          <w:color w:val="000000"/>
        </w:rPr>
        <w:t xml:space="preserve"> </w:t>
      </w:r>
      <w:r>
        <w:rPr>
          <w:rFonts w:cs="Arial"/>
          <w:color w:val="000000"/>
        </w:rPr>
        <w:t>Name</w:t>
      </w:r>
    </w:p>
    <w:p w:rsidR="00EE6133" w:rsidRPr="00EE6133" w:rsidRDefault="00EE6133" w:rsidP="00EE6133">
      <w:pPr>
        <w:ind w:left="1440"/>
        <w:rPr>
          <w:rFonts w:cs="Arial"/>
          <w:color w:val="000000"/>
        </w:rPr>
      </w:pPr>
    </w:p>
    <w:p w:rsidR="00A852DF" w:rsidRDefault="00A852DF" w:rsidP="00157BFC">
      <w:pPr>
        <w:numPr>
          <w:ilvl w:val="0"/>
          <w:numId w:val="6"/>
        </w:numPr>
        <w:rPr>
          <w:rFonts w:cs="Arial"/>
          <w:color w:val="000000"/>
        </w:rPr>
      </w:pPr>
      <w:r>
        <w:rPr>
          <w:rFonts w:cs="Arial"/>
          <w:color w:val="000000"/>
        </w:rPr>
        <w:t>Payment Means, Payment Identifier</w:t>
      </w:r>
    </w:p>
    <w:p w:rsidR="00A852DF" w:rsidRDefault="00A852DF" w:rsidP="00157BFC">
      <w:pPr>
        <w:numPr>
          <w:ilvl w:val="1"/>
          <w:numId w:val="8"/>
        </w:numPr>
        <w:rPr>
          <w:rFonts w:cs="Arial"/>
          <w:color w:val="000000"/>
        </w:rPr>
      </w:pPr>
      <w:r>
        <w:rPr>
          <w:rFonts w:cs="Arial"/>
          <w:color w:val="000000"/>
        </w:rPr>
        <w:t>Supports end-to-end identification of the payment through the payment channel.</w:t>
      </w:r>
    </w:p>
    <w:p w:rsidR="00A852DF" w:rsidRDefault="00A852DF" w:rsidP="00157BFC">
      <w:pPr>
        <w:numPr>
          <w:ilvl w:val="0"/>
          <w:numId w:val="6"/>
        </w:numPr>
        <w:rPr>
          <w:rFonts w:cs="Arial"/>
          <w:color w:val="000000"/>
        </w:rPr>
      </w:pPr>
      <w:r>
        <w:rPr>
          <w:rFonts w:cs="Arial"/>
          <w:color w:val="000000"/>
        </w:rPr>
        <w:t>Monetary Total</w:t>
      </w:r>
    </w:p>
    <w:p w:rsidR="00A852DF" w:rsidRDefault="00A852DF" w:rsidP="00157BFC">
      <w:pPr>
        <w:numPr>
          <w:ilvl w:val="1"/>
          <w:numId w:val="9"/>
        </w:numPr>
        <w:rPr>
          <w:rFonts w:cs="Arial"/>
          <w:color w:val="000000"/>
        </w:rPr>
      </w:pPr>
      <w:r>
        <w:rPr>
          <w:rFonts w:cs="Arial"/>
          <w:color w:val="000000"/>
        </w:rPr>
        <w:t xml:space="preserve">Total Amount </w:t>
      </w:r>
      <w:r w:rsidR="00EE6133">
        <w:rPr>
          <w:rFonts w:cs="Arial"/>
          <w:color w:val="000000"/>
        </w:rPr>
        <w:t>Exclusive</w:t>
      </w:r>
      <w:r>
        <w:rPr>
          <w:rFonts w:cs="Arial"/>
          <w:color w:val="000000"/>
        </w:rPr>
        <w:t xml:space="preserve"> Tax</w:t>
      </w:r>
    </w:p>
    <w:p w:rsidR="00A852DF" w:rsidRPr="00A852DF" w:rsidRDefault="00A852DF">
      <w:pPr>
        <w:rPr>
          <w:rFonts w:cs="Arial"/>
          <w:b/>
          <w:color w:val="000000"/>
        </w:rPr>
      </w:pPr>
    </w:p>
    <w:p w:rsidR="00DF75A2" w:rsidRPr="00DF75A2" w:rsidRDefault="00A852DF" w:rsidP="00A852DF">
      <w:pPr>
        <w:pStyle w:val="Heading3"/>
      </w:pPr>
      <w:bookmarkStart w:id="53" w:name="_Toc246977603"/>
      <w:r>
        <w:t>4.2.3</w:t>
      </w:r>
      <w:r>
        <w:tab/>
      </w:r>
      <w:r w:rsidR="00DF75A2" w:rsidRPr="00DF75A2">
        <w:t>Consequences of gaps</w:t>
      </w:r>
      <w:bookmarkEnd w:id="53"/>
    </w:p>
    <w:p w:rsidR="00DF75A2" w:rsidRDefault="00DF75A2"/>
    <w:p w:rsidR="00157BFC" w:rsidRDefault="00157BFC" w:rsidP="00157BFC">
      <w:pPr>
        <w:rPr>
          <w:rFonts w:cs="Arial"/>
          <w:color w:val="000000"/>
        </w:rPr>
      </w:pPr>
      <w:r>
        <w:rPr>
          <w:rFonts w:cs="Arial"/>
          <w:color w:val="000000"/>
        </w:rPr>
        <w:t>The requirements are realized in different ways and it is possible that some gaps have solutions that have not been identified.</w:t>
      </w:r>
    </w:p>
    <w:p w:rsidR="00157BFC" w:rsidRDefault="00157BFC" w:rsidP="00157BFC">
      <w:pPr>
        <w:rPr>
          <w:rFonts w:cs="Arial"/>
          <w:color w:val="000000"/>
        </w:rPr>
      </w:pPr>
      <w:r>
        <w:rPr>
          <w:rFonts w:cs="Arial"/>
          <w:color w:val="000000"/>
        </w:rPr>
        <w:t>The BII requirements cover several messages such as Invoice, Order and Catalogue but CCL08B Reference Library do not support all these messages yet and it becomes very clearly when studying the aggregated business information entities used primarily in the Catalogue, Quotation or Order-processes.</w:t>
      </w:r>
    </w:p>
    <w:p w:rsidR="00157BFC" w:rsidRPr="00157BFC" w:rsidRDefault="00157BFC" w:rsidP="00157BFC">
      <w:pPr>
        <w:rPr>
          <w:rFonts w:cs="Arial"/>
          <w:b/>
          <w:color w:val="000000"/>
        </w:rPr>
      </w:pPr>
      <w:r w:rsidRPr="00157BFC">
        <w:rPr>
          <w:rFonts w:cs="Arial"/>
          <w:b/>
          <w:color w:val="000000"/>
        </w:rPr>
        <w:t>Further analysis is necessary</w:t>
      </w:r>
    </w:p>
    <w:p w:rsidR="00157BFC" w:rsidRDefault="00157BFC" w:rsidP="00157BFC">
      <w:pPr>
        <w:rPr>
          <w:rFonts w:cs="Arial"/>
          <w:color w:val="000000"/>
        </w:rPr>
      </w:pPr>
      <w:r>
        <w:rPr>
          <w:rFonts w:cs="Arial"/>
          <w:color w:val="000000"/>
        </w:rPr>
        <w:t>The results of the gap analysis will be a valuable input to the ongoing convergence efforts. It is important though to take into account that some high level business requirements can be implemented in different ways and gaps on basic information entity level is not always a problem. Each gap needs to be further analysed.</w:t>
      </w:r>
    </w:p>
    <w:p w:rsidR="00D35F95" w:rsidRDefault="00D35F95">
      <w:pPr>
        <w:keepNext/>
      </w:pPr>
    </w:p>
    <w:p w:rsidR="007D3E0E" w:rsidRPr="00F41201" w:rsidRDefault="007D3E0E" w:rsidP="007D3E0E">
      <w:pPr>
        <w:pStyle w:val="Heading8"/>
        <w:rPr>
          <w:lang w:val="en-US"/>
        </w:rPr>
      </w:pPr>
      <w:bookmarkStart w:id="54" w:name="_Toc233780692"/>
      <w:bookmarkStart w:id="55" w:name="_Toc246977604"/>
      <w:r>
        <w:lastRenderedPageBreak/>
        <w:t>Annex</w:t>
      </w:r>
      <w:r w:rsidR="007B0822">
        <w:t>es</w:t>
      </w:r>
      <w:r>
        <w:br/>
      </w:r>
      <w:bookmarkEnd w:id="54"/>
      <w:bookmarkEnd w:id="55"/>
    </w:p>
    <w:p w:rsidR="00110ABE" w:rsidRDefault="00F41201" w:rsidP="00F41201">
      <w:pPr>
        <w:pStyle w:val="NormalWeb"/>
        <w:rPr>
          <w:rFonts w:ascii="Arial" w:hAnsi="Arial"/>
          <w:sz w:val="20"/>
          <w:szCs w:val="20"/>
          <w:lang w:val="en-GB"/>
        </w:rPr>
      </w:pPr>
      <w:bookmarkStart w:id="56" w:name="_Toc233780693"/>
      <w:r w:rsidRPr="00F41201">
        <w:rPr>
          <w:rFonts w:ascii="Arial" w:hAnsi="Arial"/>
          <w:sz w:val="20"/>
          <w:szCs w:val="20"/>
          <w:lang w:val="en-GB"/>
        </w:rPr>
        <w:t>The following annexes are part of the CWA and presents detailed results from the analysis regarding UN/CEFACT XML and ISO 20022.</w:t>
      </w:r>
    </w:p>
    <w:p w:rsidR="00F41201" w:rsidRPr="00F41201" w:rsidRDefault="00F41201" w:rsidP="00F41201">
      <w:pPr>
        <w:pStyle w:val="NormalWeb"/>
        <w:rPr>
          <w:rFonts w:ascii="Arial" w:hAnsi="Arial"/>
          <w:sz w:val="20"/>
          <w:szCs w:val="20"/>
          <w:lang w:val="en-GB"/>
        </w:rPr>
      </w:pPr>
    </w:p>
    <w:p w:rsidR="007D3E0E" w:rsidRDefault="007B0822" w:rsidP="007D3E0E">
      <w:pPr>
        <w:pStyle w:val="Heading9"/>
      </w:pPr>
      <w:bookmarkStart w:id="57" w:name="_Toc246977605"/>
      <w:r>
        <w:t>Annex A:</w:t>
      </w:r>
      <w:r w:rsidR="007D3E0E">
        <w:tab/>
      </w:r>
      <w:bookmarkEnd w:id="56"/>
      <w:r w:rsidR="00110ABE">
        <w:t>BII UN/CEFACT CCL mapping</w:t>
      </w:r>
      <w:bookmarkEnd w:id="57"/>
    </w:p>
    <w:p w:rsidR="00EE6773" w:rsidRDefault="00EE6773" w:rsidP="007D3E0E"/>
    <w:p w:rsidR="007D3E0E" w:rsidRDefault="00110ABE" w:rsidP="007D3E0E">
      <w:r>
        <w:t>The BII/CCL mapping</w:t>
      </w:r>
      <w:r w:rsidR="007D3E0E">
        <w:t xml:space="preserve"> is presented in attachment #</w:t>
      </w:r>
    </w:p>
    <w:p w:rsidR="00EE6773" w:rsidRDefault="00EE6773" w:rsidP="007D3E0E">
      <w:r w:rsidRPr="00EE6773">
        <w:t>GAP analysis describing the differences and mapping between UN/CEFACT CCL and BUY-SHIP-PAY data model and the Workshop requirements</w:t>
      </w:r>
    </w:p>
    <w:p w:rsidR="00F41201" w:rsidRDefault="00F41201" w:rsidP="007D3E0E"/>
    <w:p w:rsidR="00110ABE" w:rsidRDefault="007B0822" w:rsidP="00110ABE">
      <w:pPr>
        <w:pStyle w:val="Heading9"/>
      </w:pPr>
      <w:bookmarkStart w:id="58" w:name="_Toc233780695"/>
      <w:bookmarkStart w:id="59" w:name="_Toc246977606"/>
      <w:r>
        <w:t>Annex B:</w:t>
      </w:r>
      <w:r w:rsidR="00110ABE">
        <w:tab/>
      </w:r>
      <w:bookmarkEnd w:id="58"/>
      <w:r w:rsidR="00110ABE">
        <w:t>BII ISO 20022 mapping</w:t>
      </w:r>
      <w:bookmarkEnd w:id="59"/>
    </w:p>
    <w:p w:rsidR="00EE6773" w:rsidRDefault="00EE6773" w:rsidP="00110ABE"/>
    <w:p w:rsidR="00110ABE" w:rsidRDefault="00110ABE" w:rsidP="00110ABE">
      <w:r>
        <w:t xml:space="preserve">The BII/ISO 20022 </w:t>
      </w:r>
      <w:r w:rsidR="004131B5">
        <w:t>mapping is</w:t>
      </w:r>
      <w:r>
        <w:t xml:space="preserve"> presented in attachment #</w:t>
      </w:r>
    </w:p>
    <w:p w:rsidR="00EE6773" w:rsidRDefault="00EE6773" w:rsidP="00110ABE">
      <w:r w:rsidRPr="00EE6773">
        <w:t>GAP analysis describing the differences between ISO200</w:t>
      </w:r>
      <w:r>
        <w:t xml:space="preserve">22 Invoice and the requirements </w:t>
      </w:r>
      <w:r w:rsidRPr="00EE6773">
        <w:t>identified by the Workshop.</w:t>
      </w:r>
    </w:p>
    <w:p w:rsidR="00F41201" w:rsidRPr="00EE6773" w:rsidRDefault="00F41201" w:rsidP="00110ABE"/>
    <w:p w:rsidR="00110ABE" w:rsidRDefault="00110ABE" w:rsidP="00110ABE">
      <w:pPr>
        <w:pStyle w:val="Heading9"/>
      </w:pPr>
    </w:p>
    <w:p w:rsidR="00110ABE" w:rsidRDefault="00110ABE" w:rsidP="00110ABE"/>
    <w:p w:rsidR="007D3E0E" w:rsidRDefault="007D3E0E" w:rsidP="00110ABE">
      <w:pPr>
        <w:pStyle w:val="Heading2"/>
      </w:pPr>
    </w:p>
    <w:p w:rsidR="00D35F95" w:rsidRDefault="00D35F95"/>
    <w:sectPr w:rsidR="00D35F95" w:rsidSect="00360039">
      <w:headerReference w:type="even" r:id="rId14"/>
      <w:headerReference w:type="default" r:id="rId15"/>
      <w:footnotePr>
        <w:numRestart w:val="eachSect"/>
      </w:footnotePr>
      <w:pgSz w:w="11907" w:h="16840" w:code="9"/>
      <w:pgMar w:top="1418" w:right="1134" w:bottom="1134" w:left="1134" w:header="680" w:footer="34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D17" w:rsidRDefault="00FC7D17">
      <w:pPr>
        <w:spacing w:after="0"/>
      </w:pPr>
      <w:r>
        <w:separator/>
      </w:r>
    </w:p>
  </w:endnote>
  <w:endnote w:type="continuationSeparator" w:id="0">
    <w:p w:rsidR="00FC7D17" w:rsidRDefault="00FC7D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arSymbol">
    <w:altName w:val="ＭＳ 明朝"/>
    <w:panose1 w:val="00000000000000000000"/>
    <w:charset w:val="00"/>
    <w:family w:val="auto"/>
    <w:notTrueType/>
    <w:pitch w:val="default"/>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D17" w:rsidRDefault="00FC7D17">
      <w:pPr>
        <w:spacing w:after="0"/>
      </w:pPr>
      <w:r>
        <w:separator/>
      </w:r>
    </w:p>
  </w:footnote>
  <w:footnote w:type="continuationSeparator" w:id="0">
    <w:p w:rsidR="00FC7D17" w:rsidRDefault="00FC7D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95" w:rsidRDefault="00D35F95">
    <w:pPr>
      <w:jc w:val="right"/>
    </w:pPr>
    <w:r>
      <w:t xml:space="preserve">Page </w:t>
    </w:r>
    <w:fldSimple w:instr=" PAGE ">
      <w:r>
        <w:t>3</w:t>
      </w:r>
    </w:fldSimple>
    <w:r>
      <w:t xml:space="preserve"> </w:t>
    </w:r>
  </w:p>
  <w:p w:rsidR="00D35F95" w:rsidRDefault="00D35F95">
    <w:pPr>
      <w:jc w:val="right"/>
    </w:pPr>
    <w:r>
      <w:t>Draft CWA NNNNN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95" w:rsidRDefault="00D35F95">
    <w:pPr>
      <w:rPr>
        <w:rStyle w:val="PageNumber"/>
      </w:rPr>
    </w:pPr>
    <w:r>
      <w:t xml:space="preserve">Page </w:t>
    </w:r>
    <w:r w:rsidR="00DD3CFD">
      <w:rPr>
        <w:rStyle w:val="PageNumber"/>
      </w:rPr>
      <w:fldChar w:fldCharType="begin"/>
    </w:r>
    <w:r>
      <w:rPr>
        <w:rStyle w:val="PageNumber"/>
      </w:rPr>
      <w:instrText xml:space="preserve"> PAGE </w:instrText>
    </w:r>
    <w:r w:rsidR="00DD3CFD">
      <w:rPr>
        <w:rStyle w:val="PageNumber"/>
      </w:rPr>
      <w:fldChar w:fldCharType="separate"/>
    </w:r>
    <w:r w:rsidR="00F2189A">
      <w:rPr>
        <w:rStyle w:val="PageNumber"/>
        <w:noProof/>
      </w:rPr>
      <w:t>2</w:t>
    </w:r>
    <w:r w:rsidR="00DD3CFD">
      <w:rPr>
        <w:rStyle w:val="PageNumber"/>
      </w:rPr>
      <w:fldChar w:fldCharType="end"/>
    </w:r>
  </w:p>
  <w:p w:rsidR="00D35F95" w:rsidRDefault="00EE6133" w:rsidP="002A4CE5">
    <w:r>
      <w:t>CWA WG2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95" w:rsidRDefault="00D35F95">
    <w:pPr>
      <w:jc w:val="right"/>
    </w:pPr>
    <w:r>
      <w:t xml:space="preserve">Page </w:t>
    </w:r>
    <w:fldSimple w:instr=" PAGE ">
      <w:r w:rsidR="00F2189A">
        <w:rPr>
          <w:noProof/>
        </w:rPr>
        <w:t>3</w:t>
      </w:r>
    </w:fldSimple>
    <w:r>
      <w:t xml:space="preserve"> </w:t>
    </w:r>
  </w:p>
  <w:p w:rsidR="00D35F95" w:rsidRDefault="00110ABE" w:rsidP="00110ABE">
    <w:r>
      <w:t>CWA W</w:t>
    </w:r>
    <w:r w:rsidR="00C56B89">
      <w:t>G2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3CF1DA"/>
    <w:lvl w:ilvl="0">
      <w:numFmt w:val="bullet"/>
      <w:lvlText w:val="*"/>
      <w:lvlJc w:val="left"/>
    </w:lvl>
  </w:abstractNum>
  <w:abstractNum w:abstractNumId="1">
    <w:nsid w:val="0CED0073"/>
    <w:multiLevelType w:val="hybridMultilevel"/>
    <w:tmpl w:val="DE4A46D8"/>
    <w:lvl w:ilvl="0" w:tplc="4EB62178">
      <w:start w:val="1"/>
      <w:numFmt w:val="bullet"/>
      <w:lvlText w:val="-"/>
      <w:lvlJc w:val="left"/>
      <w:pPr>
        <w:ind w:left="720" w:hanging="360"/>
      </w:pPr>
      <w:rPr>
        <w:rFonts w:ascii="Calibri" w:eastAsia="Calibri" w:hAnsi="Calibri" w:cs="Arial" w:hint="default"/>
      </w:rPr>
    </w:lvl>
    <w:lvl w:ilvl="1" w:tplc="4EB62178">
      <w:start w:val="1"/>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E7524"/>
    <w:multiLevelType w:val="hybridMultilevel"/>
    <w:tmpl w:val="0F0EF696"/>
    <w:lvl w:ilvl="0" w:tplc="B0C62F68">
      <w:start w:val="200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A389C"/>
    <w:multiLevelType w:val="hybridMultilevel"/>
    <w:tmpl w:val="FE3CD712"/>
    <w:lvl w:ilvl="0" w:tplc="4EB62178">
      <w:start w:val="1"/>
      <w:numFmt w:val="bullet"/>
      <w:lvlText w:val="-"/>
      <w:lvlJc w:val="left"/>
      <w:pPr>
        <w:ind w:left="720" w:hanging="360"/>
      </w:pPr>
      <w:rPr>
        <w:rFonts w:ascii="Calibri" w:eastAsia="Calibri" w:hAnsi="Calibri" w:cs="Arial" w:hint="default"/>
      </w:rPr>
    </w:lvl>
    <w:lvl w:ilvl="1" w:tplc="4EB62178">
      <w:start w:val="1"/>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4413A"/>
    <w:multiLevelType w:val="singleLevel"/>
    <w:tmpl w:val="7D1E556C"/>
    <w:lvl w:ilvl="0">
      <w:start w:val="3"/>
      <w:numFmt w:val="decimal"/>
      <w:lvlText w:val="%1"/>
      <w:legacy w:legacy="1" w:legacySpace="0" w:legacyIndent="1140"/>
      <w:lvlJc w:val="left"/>
      <w:pPr>
        <w:ind w:left="1140" w:hanging="1140"/>
      </w:pPr>
    </w:lvl>
  </w:abstractNum>
  <w:abstractNum w:abstractNumId="5">
    <w:nsid w:val="2C4F0702"/>
    <w:multiLevelType w:val="hybridMultilevel"/>
    <w:tmpl w:val="18D0608C"/>
    <w:lvl w:ilvl="0" w:tplc="4EB62178">
      <w:start w:val="1"/>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1D5141"/>
    <w:multiLevelType w:val="hybridMultilevel"/>
    <w:tmpl w:val="1D40A75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5E651C6F"/>
    <w:multiLevelType w:val="hybridMultilevel"/>
    <w:tmpl w:val="23EC8794"/>
    <w:lvl w:ilvl="0" w:tplc="0414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A60B8B"/>
    <w:multiLevelType w:val="hybridMultilevel"/>
    <w:tmpl w:val="C1C42AB0"/>
    <w:lvl w:ilvl="0" w:tplc="163C58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9D10ED"/>
    <w:multiLevelType w:val="hybridMultilevel"/>
    <w:tmpl w:val="E9526BC0"/>
    <w:lvl w:ilvl="0" w:tplc="4EB62178">
      <w:start w:val="1"/>
      <w:numFmt w:val="bullet"/>
      <w:lvlText w:val="-"/>
      <w:lvlJc w:val="left"/>
      <w:pPr>
        <w:ind w:left="720" w:hanging="360"/>
      </w:pPr>
      <w:rPr>
        <w:rFonts w:ascii="Calibri" w:eastAsia="Calibri" w:hAnsi="Calibri" w:cs="Arial" w:hint="default"/>
      </w:rPr>
    </w:lvl>
    <w:lvl w:ilvl="1" w:tplc="4EB62178">
      <w:start w:val="1"/>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6"/>
        <w:numFmt w:val="bullet"/>
        <w:lvlText w:val="-"/>
        <w:legacy w:legacy="1" w:legacySpace="0" w:legacyIndent="720"/>
        <w:lvlJc w:val="left"/>
        <w:pPr>
          <w:ind w:left="1080" w:hanging="720"/>
        </w:pPr>
      </w:lvl>
    </w:lvlOverride>
  </w:num>
  <w:num w:numId="3">
    <w:abstractNumId w:val="2"/>
  </w:num>
  <w:num w:numId="4">
    <w:abstractNumId w:val="8"/>
  </w:num>
  <w:num w:numId="5">
    <w:abstractNumId w:val="6"/>
  </w:num>
  <w:num w:numId="6">
    <w:abstractNumId w:val="5"/>
  </w:num>
  <w:num w:numId="7">
    <w:abstractNumId w:val="1"/>
  </w:num>
  <w:num w:numId="8">
    <w:abstractNumId w:val="9"/>
  </w:num>
  <w:num w:numId="9">
    <w:abstractNumId w:val="3"/>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ttachedTemplate r:id="rId1"/>
  <w:linkStyles/>
  <w:defaultTabStop w:val="284"/>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18434"/>
  </w:hdrShapeDefaults>
  <w:footnotePr>
    <w:numRestart w:val="eachSect"/>
    <w:footnote w:id="-1"/>
    <w:footnote w:id="0"/>
  </w:footnotePr>
  <w:endnotePr>
    <w:endnote w:id="-1"/>
    <w:endnote w:id="0"/>
  </w:endnotePr>
  <w:compat>
    <w:spaceForUL/>
    <w:balanceSingleByteDoubleByteWidth/>
    <w:doNotLeaveBackslashAlone/>
    <w:ulTrailSpace/>
    <w:doNotExpandShiftReturn/>
  </w:compat>
  <w:rsids>
    <w:rsidRoot w:val="00C03F40"/>
    <w:rsid w:val="000F3655"/>
    <w:rsid w:val="00110ABE"/>
    <w:rsid w:val="00150D61"/>
    <w:rsid w:val="00157BFC"/>
    <w:rsid w:val="002105F2"/>
    <w:rsid w:val="002A4CE5"/>
    <w:rsid w:val="002C4BBB"/>
    <w:rsid w:val="00360039"/>
    <w:rsid w:val="004131B5"/>
    <w:rsid w:val="00414554"/>
    <w:rsid w:val="00425A5F"/>
    <w:rsid w:val="004479E8"/>
    <w:rsid w:val="00477995"/>
    <w:rsid w:val="005E4E60"/>
    <w:rsid w:val="00604591"/>
    <w:rsid w:val="007624A2"/>
    <w:rsid w:val="0077617F"/>
    <w:rsid w:val="00793669"/>
    <w:rsid w:val="007B0822"/>
    <w:rsid w:val="007D3E0E"/>
    <w:rsid w:val="00827B6C"/>
    <w:rsid w:val="0092524C"/>
    <w:rsid w:val="0098671B"/>
    <w:rsid w:val="00A77628"/>
    <w:rsid w:val="00A852DF"/>
    <w:rsid w:val="00AD62F7"/>
    <w:rsid w:val="00B04129"/>
    <w:rsid w:val="00B40448"/>
    <w:rsid w:val="00C03F40"/>
    <w:rsid w:val="00C56B89"/>
    <w:rsid w:val="00CE3F3A"/>
    <w:rsid w:val="00D13C22"/>
    <w:rsid w:val="00D35F95"/>
    <w:rsid w:val="00D71354"/>
    <w:rsid w:val="00DD3CFD"/>
    <w:rsid w:val="00DE62EF"/>
    <w:rsid w:val="00DF75A2"/>
    <w:rsid w:val="00E76CCA"/>
    <w:rsid w:val="00E81E8A"/>
    <w:rsid w:val="00EE6133"/>
    <w:rsid w:val="00EE6773"/>
    <w:rsid w:val="00F2189A"/>
    <w:rsid w:val="00F41201"/>
    <w:rsid w:val="00F9066C"/>
    <w:rsid w:val="00F96511"/>
    <w:rsid w:val="00FC7D17"/>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39"/>
    <w:pPr>
      <w:overflowPunct w:val="0"/>
      <w:autoSpaceDE w:val="0"/>
      <w:autoSpaceDN w:val="0"/>
      <w:adjustRightInd w:val="0"/>
      <w:spacing w:after="180"/>
      <w:textAlignment w:val="baseline"/>
    </w:pPr>
    <w:rPr>
      <w:rFonts w:ascii="Arial" w:hAnsi="Arial"/>
      <w:lang w:val="en-GB"/>
    </w:rPr>
  </w:style>
  <w:style w:type="paragraph" w:styleId="Heading1">
    <w:name w:val="heading 1"/>
    <w:basedOn w:val="Normal"/>
    <w:next w:val="Normal"/>
    <w:qFormat/>
    <w:rsid w:val="00360039"/>
    <w:pPr>
      <w:keepNext/>
      <w:keepLines/>
      <w:pageBreakBefore/>
      <w:pBdr>
        <w:top w:val="single" w:sz="12" w:space="3" w:color="auto"/>
      </w:pBdr>
      <w:spacing w:before="240"/>
      <w:ind w:left="1134" w:hanging="1134"/>
      <w:outlineLvl w:val="0"/>
    </w:pPr>
    <w:rPr>
      <w:sz w:val="36"/>
    </w:rPr>
  </w:style>
  <w:style w:type="paragraph" w:styleId="Heading2">
    <w:name w:val="heading 2"/>
    <w:basedOn w:val="Heading1"/>
    <w:next w:val="Normal"/>
    <w:qFormat/>
    <w:rsid w:val="00360039"/>
    <w:pPr>
      <w:pageBreakBefore w:val="0"/>
      <w:pBdr>
        <w:top w:val="none" w:sz="0" w:space="0" w:color="auto"/>
      </w:pBdr>
      <w:spacing w:before="180"/>
      <w:outlineLvl w:val="1"/>
    </w:pPr>
    <w:rPr>
      <w:sz w:val="32"/>
    </w:rPr>
  </w:style>
  <w:style w:type="paragraph" w:styleId="Heading3">
    <w:name w:val="heading 3"/>
    <w:basedOn w:val="Heading2"/>
    <w:next w:val="Normal"/>
    <w:qFormat/>
    <w:rsid w:val="00360039"/>
    <w:pPr>
      <w:spacing w:before="120"/>
      <w:outlineLvl w:val="2"/>
    </w:pPr>
    <w:rPr>
      <w:sz w:val="28"/>
    </w:rPr>
  </w:style>
  <w:style w:type="paragraph" w:styleId="Heading4">
    <w:name w:val="heading 4"/>
    <w:basedOn w:val="Heading3"/>
    <w:next w:val="Normal"/>
    <w:qFormat/>
    <w:rsid w:val="00360039"/>
    <w:pPr>
      <w:ind w:left="1418" w:hanging="1418"/>
      <w:outlineLvl w:val="3"/>
    </w:pPr>
    <w:rPr>
      <w:sz w:val="24"/>
    </w:rPr>
  </w:style>
  <w:style w:type="paragraph" w:styleId="Heading5">
    <w:name w:val="heading 5"/>
    <w:basedOn w:val="Heading4"/>
    <w:next w:val="Normal"/>
    <w:qFormat/>
    <w:rsid w:val="00360039"/>
    <w:pPr>
      <w:ind w:left="1701" w:hanging="1701"/>
      <w:outlineLvl w:val="4"/>
    </w:pPr>
    <w:rPr>
      <w:sz w:val="22"/>
    </w:rPr>
  </w:style>
  <w:style w:type="paragraph" w:styleId="Heading6">
    <w:name w:val="heading 6"/>
    <w:basedOn w:val="Normal"/>
    <w:next w:val="Normal"/>
    <w:qFormat/>
    <w:rsid w:val="00360039"/>
    <w:pPr>
      <w:keepNext/>
      <w:keepLines/>
      <w:spacing w:before="120"/>
      <w:ind w:left="1985" w:hanging="1985"/>
      <w:outlineLvl w:val="5"/>
    </w:pPr>
  </w:style>
  <w:style w:type="paragraph" w:styleId="Heading7">
    <w:name w:val="heading 7"/>
    <w:basedOn w:val="Normal"/>
    <w:next w:val="Normal"/>
    <w:qFormat/>
    <w:rsid w:val="00360039"/>
    <w:pPr>
      <w:keepNext/>
      <w:keepLines/>
      <w:spacing w:before="120"/>
      <w:ind w:left="1985" w:hanging="1985"/>
      <w:outlineLvl w:val="6"/>
    </w:pPr>
  </w:style>
  <w:style w:type="paragraph" w:styleId="Heading8">
    <w:name w:val="heading 8"/>
    <w:basedOn w:val="Heading1"/>
    <w:next w:val="Normal"/>
    <w:qFormat/>
    <w:rsid w:val="00360039"/>
    <w:pPr>
      <w:ind w:left="0" w:firstLine="0"/>
      <w:outlineLvl w:val="7"/>
    </w:pPr>
  </w:style>
  <w:style w:type="paragraph" w:styleId="Heading9">
    <w:name w:val="heading 9"/>
    <w:basedOn w:val="Heading8"/>
    <w:next w:val="Normal"/>
    <w:qFormat/>
    <w:rsid w:val="00360039"/>
    <w:pPr>
      <w:pageBreakBefore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rsid w:val="00360039"/>
  </w:style>
  <w:style w:type="paragraph" w:styleId="TOC8">
    <w:name w:val="toc 8"/>
    <w:basedOn w:val="TOC1"/>
    <w:uiPriority w:val="39"/>
    <w:rsid w:val="00360039"/>
    <w:pPr>
      <w:spacing w:before="180"/>
    </w:pPr>
    <w:rPr>
      <w:b/>
    </w:rPr>
  </w:style>
  <w:style w:type="paragraph" w:styleId="TOC1">
    <w:name w:val="toc 1"/>
    <w:basedOn w:val="Normal"/>
    <w:uiPriority w:val="39"/>
    <w:rsid w:val="00360039"/>
    <w:pPr>
      <w:keepNext/>
      <w:keepLines/>
      <w:widowControl w:val="0"/>
      <w:tabs>
        <w:tab w:val="right" w:leader="dot" w:pos="9639"/>
      </w:tabs>
      <w:spacing w:before="120" w:after="0"/>
      <w:ind w:left="567" w:right="425" w:hanging="567"/>
    </w:pPr>
    <w:rPr>
      <w:noProof/>
      <w:sz w:val="22"/>
    </w:rPr>
  </w:style>
  <w:style w:type="paragraph" w:customStyle="1" w:styleId="EQ">
    <w:name w:val="EQ"/>
    <w:basedOn w:val="Normal"/>
    <w:next w:val="Normal"/>
    <w:rsid w:val="00360039"/>
    <w:pPr>
      <w:keepLines/>
      <w:tabs>
        <w:tab w:val="center" w:pos="4536"/>
        <w:tab w:val="right" w:pos="9072"/>
      </w:tabs>
    </w:pPr>
    <w:rPr>
      <w:noProof/>
    </w:rPr>
  </w:style>
  <w:style w:type="paragraph" w:styleId="TOC5">
    <w:name w:val="toc 5"/>
    <w:basedOn w:val="TOC4"/>
    <w:semiHidden/>
    <w:rsid w:val="00360039"/>
    <w:pPr>
      <w:ind w:left="1701" w:hanging="1701"/>
    </w:pPr>
  </w:style>
  <w:style w:type="paragraph" w:styleId="TOC4">
    <w:name w:val="toc 4"/>
    <w:basedOn w:val="TOC3"/>
    <w:semiHidden/>
    <w:rsid w:val="00360039"/>
    <w:pPr>
      <w:ind w:left="1418" w:hanging="1418"/>
    </w:pPr>
  </w:style>
  <w:style w:type="paragraph" w:styleId="TOC3">
    <w:name w:val="toc 3"/>
    <w:basedOn w:val="TOC2"/>
    <w:uiPriority w:val="39"/>
    <w:rsid w:val="00360039"/>
    <w:pPr>
      <w:ind w:left="1134" w:hanging="1134"/>
    </w:pPr>
  </w:style>
  <w:style w:type="paragraph" w:styleId="TOC2">
    <w:name w:val="toc 2"/>
    <w:basedOn w:val="TOC1"/>
    <w:uiPriority w:val="39"/>
    <w:rsid w:val="00360039"/>
    <w:pPr>
      <w:keepNext w:val="0"/>
      <w:spacing w:before="0"/>
      <w:ind w:left="851" w:hanging="851"/>
    </w:pPr>
    <w:rPr>
      <w:sz w:val="20"/>
    </w:rPr>
  </w:style>
  <w:style w:type="paragraph" w:styleId="Footer">
    <w:name w:val="footer"/>
    <w:basedOn w:val="Normal"/>
    <w:semiHidden/>
    <w:rsid w:val="00360039"/>
  </w:style>
  <w:style w:type="character" w:styleId="FootnoteReference">
    <w:name w:val="footnote reference"/>
    <w:basedOn w:val="DefaultParagraphFont"/>
    <w:semiHidden/>
    <w:rsid w:val="00360039"/>
    <w:rPr>
      <w:b/>
      <w:position w:val="6"/>
      <w:sz w:val="16"/>
    </w:rPr>
  </w:style>
  <w:style w:type="paragraph" w:styleId="FootnoteText">
    <w:name w:val="footnote text"/>
    <w:basedOn w:val="Normal"/>
    <w:semiHidden/>
    <w:rsid w:val="00360039"/>
    <w:pPr>
      <w:keepLines/>
      <w:spacing w:after="0"/>
      <w:ind w:left="454" w:hanging="454"/>
    </w:pPr>
    <w:rPr>
      <w:sz w:val="16"/>
    </w:rPr>
  </w:style>
  <w:style w:type="paragraph" w:customStyle="1" w:styleId="EW">
    <w:name w:val="EW"/>
    <w:basedOn w:val="EX"/>
    <w:rsid w:val="00360039"/>
    <w:pPr>
      <w:spacing w:after="0"/>
    </w:pPr>
  </w:style>
  <w:style w:type="paragraph" w:customStyle="1" w:styleId="EX">
    <w:name w:val="EX"/>
    <w:basedOn w:val="Normal"/>
    <w:rsid w:val="00360039"/>
    <w:pPr>
      <w:keepLines/>
      <w:ind w:left="1702" w:hanging="1418"/>
    </w:pPr>
  </w:style>
  <w:style w:type="paragraph" w:customStyle="1" w:styleId="B1">
    <w:name w:val="B1"/>
    <w:basedOn w:val="Normal"/>
    <w:rsid w:val="00360039"/>
    <w:pPr>
      <w:ind w:left="568" w:hanging="284"/>
    </w:pPr>
  </w:style>
  <w:style w:type="paragraph" w:styleId="TOC6">
    <w:name w:val="toc 6"/>
    <w:basedOn w:val="TOC5"/>
    <w:next w:val="Normal"/>
    <w:semiHidden/>
    <w:rsid w:val="00360039"/>
    <w:pPr>
      <w:ind w:left="1985" w:hanging="1985"/>
    </w:pPr>
  </w:style>
  <w:style w:type="paragraph" w:styleId="TOC7">
    <w:name w:val="toc 7"/>
    <w:basedOn w:val="TOC6"/>
    <w:next w:val="Normal"/>
    <w:semiHidden/>
    <w:rsid w:val="00360039"/>
    <w:pPr>
      <w:ind w:left="2268" w:hanging="2268"/>
    </w:pPr>
  </w:style>
  <w:style w:type="character" w:styleId="PageNumber">
    <w:name w:val="page number"/>
    <w:basedOn w:val="DefaultParagraphFont"/>
    <w:semiHidden/>
    <w:rsid w:val="00360039"/>
  </w:style>
  <w:style w:type="paragraph" w:styleId="DocumentMap">
    <w:name w:val="Document Map"/>
    <w:basedOn w:val="Normal"/>
    <w:rsid w:val="00360039"/>
    <w:pPr>
      <w:shd w:val="clear" w:color="auto" w:fill="000080"/>
    </w:pPr>
    <w:rPr>
      <w:rFonts w:ascii="Tahoma" w:hAnsi="Tahoma"/>
    </w:rPr>
  </w:style>
  <w:style w:type="character" w:customStyle="1" w:styleId="Bullets">
    <w:name w:val="Bullets"/>
    <w:rsid w:val="007D3E0E"/>
    <w:rPr>
      <w:rFonts w:ascii="Verdana" w:eastAsia="StarSymbol" w:hAnsi="Verdana" w:cs="StarSymbol"/>
      <w:sz w:val="20"/>
      <w:szCs w:val="18"/>
    </w:rPr>
  </w:style>
  <w:style w:type="character" w:styleId="Hyperlink">
    <w:name w:val="Hyperlink"/>
    <w:rsid w:val="007D3E0E"/>
    <w:rPr>
      <w:color w:val="000080"/>
      <w:u w:val="single"/>
    </w:rPr>
  </w:style>
  <w:style w:type="paragraph" w:styleId="BodyText">
    <w:name w:val="Body Text"/>
    <w:basedOn w:val="Normal"/>
    <w:link w:val="BodyTextChar"/>
    <w:rsid w:val="007D3E0E"/>
    <w:pPr>
      <w:spacing w:after="0"/>
    </w:pPr>
  </w:style>
  <w:style w:type="character" w:customStyle="1" w:styleId="BodyTextChar">
    <w:name w:val="Body Text Char"/>
    <w:basedOn w:val="DefaultParagraphFont"/>
    <w:link w:val="BodyText"/>
    <w:rsid w:val="007D3E0E"/>
    <w:rPr>
      <w:rFonts w:ascii="Arial" w:hAnsi="Arial"/>
      <w:lang w:val="en-GB"/>
    </w:rPr>
  </w:style>
  <w:style w:type="paragraph" w:styleId="Header">
    <w:name w:val="header"/>
    <w:basedOn w:val="Normal"/>
    <w:link w:val="HeaderChar"/>
    <w:uiPriority w:val="99"/>
    <w:semiHidden/>
    <w:unhideWhenUsed/>
    <w:rsid w:val="00110ABE"/>
    <w:pPr>
      <w:tabs>
        <w:tab w:val="center" w:pos="4680"/>
        <w:tab w:val="right" w:pos="9360"/>
      </w:tabs>
    </w:pPr>
  </w:style>
  <w:style w:type="character" w:customStyle="1" w:styleId="HeaderChar">
    <w:name w:val="Header Char"/>
    <w:basedOn w:val="DefaultParagraphFont"/>
    <w:link w:val="Header"/>
    <w:uiPriority w:val="99"/>
    <w:semiHidden/>
    <w:rsid w:val="00110ABE"/>
    <w:rPr>
      <w:rFonts w:ascii="Arial" w:hAnsi="Arial"/>
      <w:lang w:val="en-GB"/>
    </w:rPr>
  </w:style>
  <w:style w:type="paragraph" w:styleId="ListParagraph">
    <w:name w:val="List Paragraph"/>
    <w:basedOn w:val="Normal"/>
    <w:uiPriority w:val="34"/>
    <w:qFormat/>
    <w:rsid w:val="00F96511"/>
    <w:pPr>
      <w:ind w:left="720"/>
    </w:pPr>
  </w:style>
  <w:style w:type="paragraph" w:styleId="NormalWeb">
    <w:name w:val="Normal (Web)"/>
    <w:basedOn w:val="Normal"/>
    <w:uiPriority w:val="99"/>
    <w:unhideWhenUsed/>
    <w:rsid w:val="00F41201"/>
    <w:pPr>
      <w:overflowPunct/>
      <w:autoSpaceDE/>
      <w:autoSpaceDN/>
      <w:adjustRightInd/>
      <w:spacing w:before="100" w:beforeAutospacing="1" w:after="100" w:afterAutospacing="1"/>
      <w:textAlignment w:val="auto"/>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28812734">
      <w:bodyDiv w:val="1"/>
      <w:marLeft w:val="0"/>
      <w:marRight w:val="0"/>
      <w:marTop w:val="0"/>
      <w:marBottom w:val="0"/>
      <w:divBdr>
        <w:top w:val="none" w:sz="0" w:space="0" w:color="auto"/>
        <w:left w:val="none" w:sz="0" w:space="0" w:color="auto"/>
        <w:bottom w:val="none" w:sz="0" w:space="0" w:color="auto"/>
        <w:right w:val="none" w:sz="0" w:space="0" w:color="auto"/>
      </w:divBdr>
    </w:div>
    <w:div w:id="634793328">
      <w:bodyDiv w:val="1"/>
      <w:marLeft w:val="0"/>
      <w:marRight w:val="0"/>
      <w:marTop w:val="0"/>
      <w:marBottom w:val="0"/>
      <w:divBdr>
        <w:top w:val="none" w:sz="0" w:space="0" w:color="auto"/>
        <w:left w:val="none" w:sz="0" w:space="0" w:color="auto"/>
        <w:bottom w:val="none" w:sz="0" w:space="0" w:color="auto"/>
        <w:right w:val="none" w:sz="0" w:space="0" w:color="auto"/>
      </w:divBdr>
    </w:div>
    <w:div w:id="870342229">
      <w:bodyDiv w:val="1"/>
      <w:marLeft w:val="0"/>
      <w:marRight w:val="0"/>
      <w:marTop w:val="0"/>
      <w:marBottom w:val="0"/>
      <w:divBdr>
        <w:top w:val="none" w:sz="0" w:space="0" w:color="auto"/>
        <w:left w:val="none" w:sz="0" w:space="0" w:color="auto"/>
        <w:bottom w:val="none" w:sz="0" w:space="0" w:color="auto"/>
        <w:right w:val="none" w:sz="0" w:space="0" w:color="auto"/>
      </w:divBdr>
    </w:div>
    <w:div w:id="935793925">
      <w:bodyDiv w:val="1"/>
      <w:marLeft w:val="0"/>
      <w:marRight w:val="0"/>
      <w:marTop w:val="0"/>
      <w:marBottom w:val="0"/>
      <w:divBdr>
        <w:top w:val="none" w:sz="0" w:space="0" w:color="auto"/>
        <w:left w:val="none" w:sz="0" w:space="0" w:color="auto"/>
        <w:bottom w:val="none" w:sz="0" w:space="0" w:color="auto"/>
        <w:right w:val="none" w:sz="0" w:space="0" w:color="auto"/>
      </w:divBdr>
    </w:div>
    <w:div w:id="1098406824">
      <w:bodyDiv w:val="1"/>
      <w:marLeft w:val="0"/>
      <w:marRight w:val="0"/>
      <w:marTop w:val="0"/>
      <w:marBottom w:val="0"/>
      <w:divBdr>
        <w:top w:val="none" w:sz="0" w:space="0" w:color="auto"/>
        <w:left w:val="none" w:sz="0" w:space="0" w:color="auto"/>
        <w:bottom w:val="none" w:sz="0" w:space="0" w:color="auto"/>
        <w:right w:val="none" w:sz="0" w:space="0" w:color="auto"/>
      </w:divBdr>
    </w:div>
    <w:div w:id="1222786832">
      <w:bodyDiv w:val="1"/>
      <w:marLeft w:val="0"/>
      <w:marRight w:val="0"/>
      <w:marTop w:val="0"/>
      <w:marBottom w:val="0"/>
      <w:divBdr>
        <w:top w:val="none" w:sz="0" w:space="0" w:color="auto"/>
        <w:left w:val="none" w:sz="0" w:space="0" w:color="auto"/>
        <w:bottom w:val="none" w:sz="0" w:space="0" w:color="auto"/>
        <w:right w:val="none" w:sz="0" w:space="0" w:color="auto"/>
      </w:divBdr>
    </w:div>
    <w:div w:id="1341464453">
      <w:bodyDiv w:val="1"/>
      <w:marLeft w:val="0"/>
      <w:marRight w:val="0"/>
      <w:marTop w:val="0"/>
      <w:marBottom w:val="0"/>
      <w:divBdr>
        <w:top w:val="none" w:sz="0" w:space="0" w:color="auto"/>
        <w:left w:val="none" w:sz="0" w:space="0" w:color="auto"/>
        <w:bottom w:val="none" w:sz="0" w:space="0" w:color="auto"/>
        <w:right w:val="none" w:sz="0" w:space="0" w:color="auto"/>
      </w:divBdr>
    </w:div>
    <w:div w:id="1478035408">
      <w:bodyDiv w:val="1"/>
      <w:marLeft w:val="0"/>
      <w:marRight w:val="0"/>
      <w:marTop w:val="0"/>
      <w:marBottom w:val="0"/>
      <w:divBdr>
        <w:top w:val="none" w:sz="0" w:space="0" w:color="auto"/>
        <w:left w:val="none" w:sz="0" w:space="0" w:color="auto"/>
        <w:bottom w:val="none" w:sz="0" w:space="0" w:color="auto"/>
        <w:right w:val="none" w:sz="0" w:space="0" w:color="auto"/>
      </w:divBdr>
    </w:div>
    <w:div w:id="1662073989">
      <w:bodyDiv w:val="1"/>
      <w:marLeft w:val="0"/>
      <w:marRight w:val="0"/>
      <w:marTop w:val="0"/>
      <w:marBottom w:val="0"/>
      <w:divBdr>
        <w:top w:val="none" w:sz="0" w:space="0" w:color="auto"/>
        <w:left w:val="none" w:sz="0" w:space="0" w:color="auto"/>
        <w:bottom w:val="none" w:sz="0" w:space="0" w:color="auto"/>
        <w:right w:val="none" w:sz="0" w:space="0" w:color="auto"/>
      </w:divBdr>
    </w:div>
    <w:div w:id="1666087114">
      <w:bodyDiv w:val="1"/>
      <w:marLeft w:val="0"/>
      <w:marRight w:val="0"/>
      <w:marTop w:val="0"/>
      <w:marBottom w:val="0"/>
      <w:divBdr>
        <w:top w:val="none" w:sz="0" w:space="0" w:color="auto"/>
        <w:left w:val="none" w:sz="0" w:space="0" w:color="auto"/>
        <w:bottom w:val="none" w:sz="0" w:space="0" w:color="auto"/>
        <w:right w:val="none" w:sz="0" w:space="0" w:color="auto"/>
      </w:divBdr>
    </w:div>
    <w:div w:id="19407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ece.org/cefact/codesfortrade/codes_index.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so20022.org/UNIFI_ISO20022_standard.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s.oasis-open.org/ubl/os-UBL-2.0/UBL-2.0.html"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Off97\winword\guidance-to-cw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77CF1F7ED7040B9AD8E4192C2BEED" ma:contentTypeVersion="0" ma:contentTypeDescription="Create a new document." ma:contentTypeScope="" ma:versionID="b265b02d4d890f7c1378664a8ec3a6f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E573718-BBA6-4D27-9030-12F33428CC69}">
  <ds:schemaRefs>
    <ds:schemaRef ds:uri="http://schemas.microsoft.com/office/2006/metadata/properties"/>
  </ds:schemaRefs>
</ds:datastoreItem>
</file>

<file path=customXml/itemProps2.xml><?xml version="1.0" encoding="utf-8"?>
<ds:datastoreItem xmlns:ds="http://schemas.openxmlformats.org/officeDocument/2006/customXml" ds:itemID="{7D9C1992-0F4F-434C-9297-3B26DB7D6DCF}">
  <ds:schemaRefs>
    <ds:schemaRef ds:uri="http://schemas.microsoft.com/sharepoint/v3/contenttype/forms"/>
  </ds:schemaRefs>
</ds:datastoreItem>
</file>

<file path=customXml/itemProps3.xml><?xml version="1.0" encoding="utf-8"?>
<ds:datastoreItem xmlns:ds="http://schemas.openxmlformats.org/officeDocument/2006/customXml" ds:itemID="{25CE5B8E-B91B-49D7-89C2-AD82CFE07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guidance-to-cwa</Template>
  <TotalTime>15</TotalTime>
  <Pages>10</Pages>
  <Words>1532</Words>
  <Characters>8735</Characters>
  <Application>Microsoft Office Word</Application>
  <DocSecurity>0</DocSecurity>
  <Lines>72</Lines>
  <Paragraphs>20</Paragraphs>
  <ScaleCrop>false</ScaleCrop>
  <HeadingPairs>
    <vt:vector size="4" baseType="variant">
      <vt:variant>
        <vt:lpstr>Title</vt:lpstr>
      </vt:variant>
      <vt:variant>
        <vt:i4>1</vt:i4>
      </vt:variant>
      <vt:variant>
        <vt:lpstr>Guidance  to Editors of CWAs</vt:lpstr>
      </vt:variant>
      <vt:variant>
        <vt:i4>0</vt:i4>
      </vt:variant>
    </vt:vector>
  </HeadingPairs>
  <TitlesOfParts>
    <vt:vector size="1" baseType="lpstr">
      <vt:lpstr>Guidance  to Editors of CWAs</vt:lpstr>
    </vt:vector>
  </TitlesOfParts>
  <Company>CEN</Company>
  <LinksUpToDate>false</LinksUpToDate>
  <CharactersWithSpaces>10247</CharactersWithSpaces>
  <SharedDoc>false</SharedDoc>
  <HLinks>
    <vt:vector size="18" baseType="variant">
      <vt:variant>
        <vt:i4>3932252</vt:i4>
      </vt:variant>
      <vt:variant>
        <vt:i4>51</vt:i4>
      </vt:variant>
      <vt:variant>
        <vt:i4>0</vt:i4>
      </vt:variant>
      <vt:variant>
        <vt:i4>5</vt:i4>
      </vt:variant>
      <vt:variant>
        <vt:lpwstr>http://www.unece.org/cefact/codesfortrade/codes_index.htm</vt:lpwstr>
      </vt:variant>
      <vt:variant>
        <vt:lpwstr/>
      </vt:variant>
      <vt:variant>
        <vt:i4>6684733</vt:i4>
      </vt:variant>
      <vt:variant>
        <vt:i4>48</vt:i4>
      </vt:variant>
      <vt:variant>
        <vt:i4>0</vt:i4>
      </vt:variant>
      <vt:variant>
        <vt:i4>5</vt:i4>
      </vt:variant>
      <vt:variant>
        <vt:lpwstr>http://www.iso20022.org/UNIFI_ISO20022_standard.page</vt:lpwstr>
      </vt:variant>
      <vt:variant>
        <vt:lpwstr/>
      </vt:variant>
      <vt:variant>
        <vt:i4>7536696</vt:i4>
      </vt:variant>
      <vt:variant>
        <vt:i4>45</vt:i4>
      </vt:variant>
      <vt:variant>
        <vt:i4>0</vt:i4>
      </vt:variant>
      <vt:variant>
        <vt:i4>5</vt:i4>
      </vt:variant>
      <vt:variant>
        <vt:lpwstr>http://docs.oasis-open.org/ubl/os-UBL-2.0/UBL-2.0.html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to Editors of CWAs</dc:title>
  <dc:subject/>
  <dc:creator>Luc Van  den Berghe</dc:creator>
  <cp:keywords/>
  <dc:description/>
  <cp:lastModifiedBy>Georg Birgisson</cp:lastModifiedBy>
  <cp:revision>5</cp:revision>
  <cp:lastPrinted>2009-06-30T07:45:00Z</cp:lastPrinted>
  <dcterms:created xsi:type="dcterms:W3CDTF">2009-11-26T04:50:00Z</dcterms:created>
  <dcterms:modified xsi:type="dcterms:W3CDTF">2009-11-26T14:41:00Z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0x010100FCB77CF1F7ED7040B9AD8E4192C2BEED</vt:lpwstr>
  </property>
</Properties>
</file>